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t>The Role of Technology in Modern Education</w:t>
      </w:r>
    </w:p>
    <w:p>
      <w:pPr>
        <w:spacing w:line="480" w:lineRule="auto"/>
      </w:pPr>
      <w:r>
        <w:t>Technology has fundamentally transformed the way students learn and teachers instruct.</w:t>
      </w:r>
    </w:p>
    <w:p>
      <w:pPr>
        <w:spacing w:line="480" w:lineRule="auto"/>
      </w:pPr>
      <w:r>
        <w:t>Online platforms provide access to educational resources that were previously unavailable.</w:t>
      </w:r>
    </w:p>
    <w:p>
      <w:pPr>
        <w:spacing w:line="480" w:lineRule="auto"/>
      </w:pPr>
      <w:r>
        <w:t>Interactive tools such as virtual labs and simulations enhance student engagement.</w:t>
      </w:r>
    </w:p>
    <w:p>
      <w:pPr>
        <w:spacing w:line="480" w:lineRule="auto"/>
      </w:pPr>
      <w:r>
        <w:t>However, equitable access to technology remains a significant challenge.</w:t>
      </w:r>
    </w:p>
    <w:p>
      <w:pPr>
        <w:spacing w:line="480" w:lineRule="auto"/>
      </w:pPr>
      <w:r>
        <w:t>Schools must ensure that all students benefit from these advancements.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