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24"/>
          <w:szCs w:val="24"/>
        </w:rPr>
      </w:pPr>
      <w:r>
        <w:rPr>
          <w:sz w:val="24"/>
          <w:szCs w:val="24"/>
        </w:rPr>
        <w:t>Company Remote Work Policy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Effective Date: January 1, 2025 | Version 3.0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1. Purpose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2. Eligibility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3. Work Schedule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4. Equipment and Security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sz w:val="24"/>
          <w:szCs w:val="24"/>
        </w:rPr>
      </w:pPr>
      <w:r>
        <w:rPr>
          <w:i/>
          <w:iCs/>
          <w:sz w:val="24"/>
          <w:szCs w:val="24"/>
        </w:rPr>
        <w:t>Employees must be reachable via Slack during core hours and respond to messages within 30 minutes. Video musll scheduled meetings. Weekly one-on-ont be enabled for ae meetings with direct managers are mandatory.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1</Pages>
  <Words>178</Words>
  <Characters>1034</Characters>
  <CharactersWithSpaces>1200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2026-04-18T14:55:33Z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