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INTERNAL DOCUMENT – DO NOT DISTRIBUTE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center"/>
        <w:rPr>
          <w:rFonts w:ascii="Calibri" w:hAnsi="Calibri"/>
          <w:color w:val="FF4000"/>
          <w:sz w:val="22"/>
          <w:szCs w:val="22"/>
        </w:rPr>
      </w:pPr>
      <w:r>
        <w:rPr>
          <w:rFonts w:ascii="Calibri" w:hAnsi="Calibri"/>
          <w:b/>
          <w:bCs/>
          <w:color w:val="FF4000"/>
          <w:sz w:val="22"/>
          <w:szCs w:val="22"/>
        </w:rPr>
        <w:t>Company Remote Work Policy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Effective Date: January 1, 2025 | Version 3.0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1. </w:t>
      </w:r>
      <w:r>
        <w:rPr>
          <w:rFonts w:ascii="Calibri" w:hAnsi="Calibri"/>
          <w:b/>
          <w:bCs/>
          <w:color w:val="2A6099"/>
          <w:sz w:val="22"/>
          <w:szCs w:val="22"/>
        </w:rPr>
        <w:t>Purpose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policy establishes guidelines for remote work arrangements to ensure productivity, collaboration, and work-life balance while maintaining the company’s operational standards.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2. </w:t>
      </w:r>
      <w:r>
        <w:rPr>
          <w:rFonts w:ascii="Calibri" w:hAnsi="Calibri"/>
          <w:b/>
          <w:bCs/>
          <w:color w:val="2A6099"/>
          <w:sz w:val="22"/>
          <w:szCs w:val="22"/>
        </w:rPr>
        <w:t>Eligibility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3. </w:t>
      </w:r>
      <w:r>
        <w:rPr>
          <w:rFonts w:ascii="Calibri" w:hAnsi="Calibri"/>
          <w:b/>
          <w:bCs/>
          <w:color w:val="2A6099"/>
          <w:sz w:val="22"/>
          <w:szCs w:val="22"/>
        </w:rPr>
        <w:t>Work Schedule</w:t>
      </w:r>
    </w:p>
    <w:p>
      <w:pPr>
        <w:pStyle w:val="Normal"/>
        <w:jc w:val="left"/>
        <w:rPr>
          <w:rFonts w:ascii="Calibri" w:hAnsi="Calibri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i w:val="false"/>
          <w:iCs w:val="false"/>
          <w:sz w:val="22"/>
          <w:szCs w:val="22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4. </w:t>
      </w:r>
      <w:r>
        <w:rPr>
          <w:rFonts w:ascii="Calibri" w:hAnsi="Calibri"/>
          <w:b/>
          <w:bCs/>
          <w:color w:val="2A6099"/>
          <w:sz w:val="22"/>
          <w:szCs w:val="22"/>
        </w:rPr>
        <w:t>Equipment and Security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5. </w:t>
      </w:r>
      <w:r>
        <w:rPr>
          <w:rFonts w:ascii="Calibri" w:hAnsi="Calibri"/>
          <w:b/>
          <w:bCs/>
          <w:color w:val="2A6099"/>
          <w:sz w:val="22"/>
          <w:szCs w:val="22"/>
        </w:rPr>
        <w:t>Communication Standards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Employees must be reachable via Slack during core hours and respond to messages within 30 minutes. Video must be enabled for all scheduled meetings. Weekly one-on-one meetings with direct managers are mandatory.</w:t>
      </w:r>
    </w:p>
    <w:p>
      <w:pPr>
        <w:pStyle w:val="Normal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before="0" w:after="20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Policy Owner: Human Resources Department | Review Cycle: Semi-annual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2</Pages>
  <Words>192</Words>
  <Characters>1126</Characters>
  <CharactersWithSpaces>1305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2026-04-18T15:12:50Z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