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Carbon Footprint Measurement Report</w:t>
      </w:r>
    </w:p>
    <w:p>
      <w:r>
        <w:t>Carbon dioxide (CO2) is the primary greenhouse gas contributing to climate change.</w:t>
      </w:r>
    </w:p>
    <w:p>
      <w:r>
        <w:t>Our facility emitted 1,250 tonnes of CO2 equivalent last year.</w:t>
      </w:r>
    </w:p>
    <w:p>
      <w:r>
        <w:t>We have committed to reducing CO2 emissions by 30% over the next five years.</w:t>
      </w:r>
    </w:p>
    <w:p>
      <w:r>
        <w:t>Monitoring systems track CO2 levels in real-time across all sites.</w:t>
      </w:r>
    </w:p>
    <w:p>
      <w:r>
        <w:t>The reduction targets align with the Paris Agreement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