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Memo</w:t>
      </w:r>
    </w:p>
    <w:p>
      <w:r>
        <w:t>To: All Department Managers</w:t>
      </w:r>
    </w:p>
    <w:p>
      <w:r>
        <w:t>From: CEO Office</w:t>
      </w:r>
    </w:p>
    <w:p>
      <w:r>
        <w:t>Date: March 1, 2025</w:t>
      </w:r>
    </w:p>
    <w:p>
      <w:r>
        <w:t>Subject: Q1 Planning and Budget Allocation</w:t>
      </w:r>
    </w:p>
    <w:p/>
    <w:p>
      <w:pPr>
        <w:pStyle w:val="Heading1"/>
      </w:pPr>
      <w:r>
        <w:t>Background</w:t>
      </w:r>
    </w:p>
    <w:p>
      <w:r>
        <w:t>As we enter the first quarter of 2025, it is essential that all departments align their activities with the company's strategic objectives. This memo outlines the key priorities and budget allocations for Q1.</w:t>
      </w:r>
    </w:p>
    <w:p>
      <w:pPr>
        <w:pStyle w:val="Heading1"/>
      </w:pPr>
      <w:r>
        <w:t>Key Priorities</w:t>
      </w:r>
    </w:p>
    <w:p>
      <w:r>
        <w:t>Product development should focus on completing the Version 3.0 release by March 31. Marketing needs to launch the spring campaign by February 15. Sales targets for Q1 are set at $12.5 million across all regions.</w:t>
      </w:r>
    </w:p>
    <w:p>
      <w:pPr>
        <w:pStyle w:val="Heading1"/>
      </w:pPr>
      <w:r>
        <w:t>Budget Allocation</w:t>
      </w:r>
    </w:p>
    <w:p>
      <w:r>
        <w:t>The total Q1 budget is $9.8 million, distributed as follows: Engineering receives $3.5 million, Marketing $2.1 million, Sales $1.8 million, Operations $1.5 million, and HR $0.9 million.</w:t>
      </w:r>
    </w:p>
    <w:p>
      <w:pPr>
        <w:pStyle w:val="Heading1"/>
      </w:pPr>
      <w:r>
        <w:t>Action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