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Annual Performance Report 2025</w:t>
      </w:r>
    </w:p>
    <w:p>
      <w:r>
        <w:t>Prepared by the Management Team</w:t>
      </w:r>
    </w:p>
    <w:p>
      <w:pPr>
        <w:pStyle w:val="Heading1"/>
      </w:pPr>
      <w:r>
        <w:t>1. Executive Summary</w:t>
      </w:r>
    </w:p>
    <w:p>
      <w:r>
        <w:t>This report provides a comprehensive overview of our company's performance during the fiscal year 2025. Revenue grew by 18% year-over-year, reaching $45.2 million. Operating margins improved to 23%, up from 19% in the previous year.</w:t>
      </w:r>
    </w:p>
    <w:p>
      <w:pPr>
        <w:pStyle w:val="Heading1"/>
      </w:pPr>
      <w:r>
        <w:t>2. Financial Highlights</w:t>
      </w:r>
    </w:p>
    <w:p>
      <w:r>
        <w:t>Total revenue reached $45.2 million, a significant increase from $38.3 million in 2024. Net income stood at $8.1 million, reflecting strong operational efficiency. The company maintained a healthy cash position of $12.4 million at year-end.</w:t>
      </w:r>
    </w:p>
    <w:p>
      <w:pPr>
        <w:pStyle w:val="Heading1"/>
      </w:pPr>
      <w:r>
        <w:t>3. Operational Review</w:t>
      </w:r>
    </w:p>
    <w:p>
      <w:r>
        <w:t>The engineering team shipped 47 product updates throughout the year, including three major platform releases. Customer satisfaction scores averaged 4.6 out of 5.0. Employee retention rate improved to 92%, up from 87% in the prior year.</w:t>
      </w:r>
    </w:p>
    <w:p>
      <w:pPr>
        <w:pStyle w:val="Heading1"/>
      </w:pPr>
      <w:r>
        <w:t>4. Market Analysis</w:t>
      </w:r>
    </w:p>
    <w:p>
      <w:r>
        <w:t>Our market share in the enterprise segment grew to 15.3%, up from 12.1%. The total addressable market is estimated at $4.8 billion, growing at 12% annually. Key competitors include TechGiant Inc., DataFlow Systems, and CloudFirst Solutions.</w:t>
      </w:r>
    </w:p>
    <w:p>
      <w:pPr>
        <w:pStyle w:val="Heading1"/>
      </w:pPr>
      <w:r>
        <w:t>5. Strategic Outlook</w:t>
      </w:r>
    </w:p>
    <w:p>
      <w:r>
        <w:t>For 2026, we plan to expand into three new geographic markets and launch two new product lines. R&amp;D investment will increase to 22% of revenue. We expect revenue growth of 20-25% and aim to achieve profitability milestones ahead of schedule.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