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Annual Performance Report 2025</w:t>
      </w:r>
    </w:p>
    <w:p>
      <w:r>
        <w:t>Prepared by the Management Team</w:t>
      </w:r>
    </w:p>
    <w:p>
      <w:pPr>
        <w:pStyle w:val="Heading1"/>
      </w:pPr>
      <w:r>
        <w:t>1. Executive Summary</w:t>
      </w:r>
    </w:p>
    <w:p>
      <w: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</w:pPr>
      <w:r>
        <w:t>2. Financial Highlights</w:t>
      </w:r>
    </w:p>
    <w:p>
      <w: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$38.3M</w:t>
            </w:r>
          </w:p>
        </w:tc>
        <w:tc>
          <w:tcPr>
            <w:tcW w:type="dxa" w:w="2880"/>
          </w:tcPr>
          <w:p>
            <w:r>
              <w:t>$45.2M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$5.9M</w:t>
            </w:r>
          </w:p>
        </w:tc>
        <w:tc>
          <w:tcPr>
            <w:tcW w:type="dxa" w:w="2880"/>
          </w:tcPr>
          <w:p>
            <w:r>
              <w:t>$8.1M</w:t>
            </w:r>
          </w:p>
        </w:tc>
      </w:tr>
      <w:tr>
        <w:tc>
          <w:tcPr>
            <w:tcW w:type="dxa" w:w="2880"/>
          </w:tcPr>
          <w:p>
            <w:r>
              <w:t>Cash Position</w:t>
            </w:r>
          </w:p>
        </w:tc>
        <w:tc>
          <w:tcPr>
            <w:tcW w:type="dxa" w:w="2880"/>
          </w:tcPr>
          <w:p>
            <w:r>
              <w:t>$9.8M</w:t>
            </w:r>
          </w:p>
        </w:tc>
        <w:tc>
          <w:tcPr>
            <w:tcW w:type="dxa" w:w="2880"/>
          </w:tcPr>
          <w:p>
            <w:r>
              <w:t>$12.4M</w:t>
            </w:r>
          </w:p>
        </w:tc>
      </w:tr>
    </w:tbl>
    <w:p>
      <w:pPr>
        <w:pStyle w:val="Heading1"/>
      </w:pPr>
      <w:r>
        <w:t>3. Operational Review</w:t>
      </w:r>
    </w:p>
    <w:p>
      <w: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</w:pPr>
      <w:r>
        <w:t>4. Market Analysis</w:t>
      </w:r>
    </w:p>
    <w:p>
      <w: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</w:pPr>
      <w:r>
        <w:t>5. Strategic Outlook</w:t>
      </w:r>
    </w:p>
    <w:p>
      <w:r>
        <w:t>For 2026, we plan to expand into three new geographic markets and launch two new product lines. R&amp;D investment will increase to 22% of revenue. We expect revenue growth of 20-25% and aim to achieve profitability milestones ahead of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