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Guide</w:t>
      </w:r>
    </w:p>
    <w:p>
      <w:r>
        <w:t>Welcome to TechVision Inc.!</w:t>
      </w:r>
    </w:p>
    <w:p>
      <w:pPr>
        <w:pStyle w:val="Heading1"/>
      </w:pPr>
      <w:r>
        <w:t>Week 1: Getting Started</w:t>
      </w:r>
    </w:p>
    <w:p>
      <w: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</w:pPr>
      <w:r>
        <w:t>Week 2: Learning the Tools</w:t>
      </w:r>
    </w:p>
    <w:p>
      <w: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</w:pPr>
      <w:r>
        <w:t>Week 3: First Contributions</w:t>
      </w:r>
    </w:p>
    <w:p>
      <w: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</w:pPr>
      <w:r>
        <w:t>Week 4: Integration</w:t>
      </w:r>
    </w:p>
    <w:p>
      <w:r>
        <w:t>Participate fully in sprint ceremonies. Take ownership of a small feature or bug fix. Schedule your 30-day check-in with HR and your manager. Provide feedback on the onboarding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