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  <w:color w:val="003366"/>
        </w:rPr>
      </w:pPr>
      <w:r>
        <w:rPr>
          <w:b/>
          <w:bCs/>
          <w:color w:val="003366"/>
          <w:sz w:val="44"/>
          <w:szCs w:val="44"/>
          <w:vertAlign w:val="subscript"/>
        </w:rPr>
        <w:t>Annual Performance Report 2025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Prepared by the Management Team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1. Executive Summary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This report provides a comprehensive overview of our company's performance during the fiscal year 2025. Revenue grew by 18% year-over-year, reaching $45.2 million. Operating margins improved to 23%, up from 19% in the previous year.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2. Financial Highlights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Total revenue reached $45.2 million, a significant increase from $38.3 million in 2024. Net income stood at $8.1 million, reflecting strong operational efficiency. The company maintained a healthy cash position of $12.4 million at year-end.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3. Operational Review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The engineering team shipped 47 product updates throughout the year, including three major platform releases. Customer satisfaction scores averaged 4.6 out of 5.0. Employee retention rate improved to 92%, up from 87% in the prior year.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4. Market Analysis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Our market share in the enterprise segment grew to 15.3%, up from 12.1%. The total addressable market is estimated at $4.8 billion, growing at 12% annually. Key competitors include TechGiant Inc., DataFlow Systems, and CloudFirst Solutions.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5. Strategic Outlook</w:t>
      </w:r>
    </w:p>
    <w:p>
      <w:pPr>
        <w:pStyle w:val="Normal"/>
        <w:rPr>
          <w:i/>
          <w:i/>
          <w:iCs/>
        </w:rPr>
      </w:pPr>
      <w:r>
        <w:rPr>
          <w:rFonts w:ascii="Calibri" w:hAnsi="Calibri"/>
          <w:b/>
          <w:bCs/>
          <w:i/>
          <w:iCs/>
          <w:sz w:val="22"/>
          <w:szCs w:val="22"/>
        </w:rPr>
        <w:t xml:space="preserve">For 2026, we plan to expand into three new geographic markets and launch two new product lines. R&amp;D investment will increase to 22% of revenue. </w:t>
      </w:r>
      <w:r>
        <w:rPr>
          <w:rFonts w:ascii="Calibri" w:hAnsi="Calibri"/>
          <w:b w:val="false"/>
          <w:bCs w:val="false"/>
          <w:i/>
          <w:iCs/>
          <w:sz w:val="22"/>
          <w:szCs w:val="22"/>
        </w:rPr>
        <w:t>We expect revenue growth of 20-25% and aim to achieve profitability milestones ahead off schedule</w:t>
      </w:r>
    </w:p>
    <w:p>
      <w:pPr>
        <w:pStyle w:val="Normal"/>
        <w:spacing w:before="0" w:after="20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--- End of Report ---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LibreOffice/7.3.7.2$Linux_X86_64 LibreOffice_project/30$Build-2</Application>
  <AppVersion>15.0000</AppVersion>
  <Pages>1</Pages>
  <Words>211</Words>
  <Characters>1174</Characters>
  <CharactersWithSpaces>1372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2026-04-19T07:39:35Z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