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DISCLAIMER: This policy is subject to change. Employees should check the HR portal for the latest version.</w:t>
      </w:r>
    </w:p>
    <w:p>
      <w:pPr>
        <w:pStyle w:val="Title"/>
      </w:pPr>
      <w:r>
        <w:t>Company Remote Work Policy</w:t>
      </w:r>
    </w:p>
    <w:p>
      <w:r>
        <w:t>Effective Date: January 1, 2025 | Version 3.0</w:t>
      </w:r>
    </w:p>
    <w:p>
      <w:pPr>
        <w:pStyle w:val="Heading1"/>
      </w:pPr>
      <w:r>
        <w:t>1. PURPOSE</w:t>
      </w:r>
    </w:p>
    <w:p>
      <w:r>
        <w:t>This policy establishes guidelines for remote work arrangements to ensure productivity, collaboration, and work-life balance while maintaining the company's operational standards.</w:t>
      </w:r>
    </w:p>
    <w:p>
      <w:pPr>
        <w:pStyle w:val="Heading1"/>
      </w:pPr>
      <w:r>
        <w:t>2. ELIGIBILITY</w:t>
      </w:r>
    </w:p>
    <w:p>
      <w:r>
        <w:t>All full-time employees who have completed their probation period (90 days) are eligible for remote work arrangements. Approval is subject to manager discretion and role requirements.</w:t>
      </w:r>
    </w:p>
    <w:p>
      <w:pPr>
        <w:pStyle w:val="Heading1"/>
      </w:pPr>
      <w:r>
        <w:t>3. WORK SCHEDULE</w:t>
      </w:r>
    </w:p>
    <w:p>
      <w:r>
        <w:t>Remote employees must maintain core hours of 10:00 AM to 3:00 PM in their local time zone. Flexible hours outside of core hours are permitted with manager approval. Total weekly hours should not exceed 45 hours without prior authorization.</w:t>
      </w:r>
    </w:p>
    <w:p>
      <w:pPr>
        <w:pStyle w:val="Heading1"/>
      </w:pPr>
      <w:r>
        <w:t>4. EQUIPMENT AND SECURITY</w:t>
      </w:r>
    </w:p>
    <w:p>
      <w:r>
        <w:t>The company will provide a laptop, monitor, and necessary peripherals. Employees must use the company VPN for all work-related activities. Personal devices may not be used to access company data without IT department approval.</w:t>
      </w:r>
    </w:p>
    <w:p>
      <w:pPr>
        <w:pStyle w:val="Heading1"/>
      </w:pPr>
      <w:r>
        <w:t>5. COMMUNICATION STANDARDS</w:t>
      </w:r>
    </w:p>
    <w:p>
      <w:r>
        <w:t>Employees must be reachable via Slack during core hours and respond to messages within 30 minutes. Video must be enabled for all scheduled meetings. Weekly one-on-one meetings with direct managers are mandatory.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