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Impact of Climate Change on Global Agriculture</w:t>
      </w:r>
    </w:p>
    <w:p>
      <w:r>
        <w:t>Climate change poses significant challenges to agricultural productivity worldwide.</w:t>
      </w:r>
    </w:p>
    <w:p>
      <w:r>
        <w:t>Rising temperatures and unpredictable rainfall patterns are disrupting crop cycles.</w:t>
      </w:r>
    </w:p>
    <w:p>
      <w:r>
        <w:t>According to recent studies, global food production could decline by up to 25% by 2050.</w:t>
      </w:r>
    </w:p>
    <w:p>
      <w:r>
        <w:t>Farmers in developing countries are particularly vulnerable to these changes.</w:t>
      </w:r>
    </w:p>
    <w:p>
      <w:r>
        <w:t>Adaptation strategies include drought-resistant crops and improved irrigation systems.</w:t>
      </w:r>
    </w:p>
    <w:p>
      <w:r>
        <w:t>IPCC. (2022). Climate Change 2022: Impacts, Adaptation and Vulnerability. Cambridge University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