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>
          <w:rFonts w:ascii="Calibri" w:hAnsi="Calibri"/>
          <w:b/>
          <w:b/>
          <w:bCs/>
          <w:sz w:val="22"/>
          <w:szCs w:val="22"/>
          <w:vertAlign w:val="subscript"/>
        </w:rPr>
      </w:pPr>
      <w:r>
        <w:rPr>
          <w:rFonts w:ascii="Calibri" w:hAnsi="Calibri"/>
          <w:b/>
          <w:bCs/>
          <w:sz w:val="22"/>
          <w:szCs w:val="22"/>
          <w:vertAlign w:val="subscript"/>
        </w:rPr>
        <w:t>Annual Performance Report 2025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Prepared by the Management Team</w:t>
      </w:r>
    </w:p>
    <w:p>
      <w:pPr>
        <w:pStyle w:val="Heading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1. </w:t>
      </w:r>
      <w:r>
        <w:rPr>
          <w:rFonts w:ascii="Calibri" w:hAnsi="Calibri"/>
          <w:b w:val="false"/>
          <w:bCs w:val="false"/>
          <w:sz w:val="22"/>
          <w:szCs w:val="22"/>
          <w:u w:val="single"/>
        </w:rPr>
        <w:t>Executive Summary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This report provides a comprehensive overview of our company's performance during the fiscal year 2025. Revenue grew by 18% year-over-year, reaching $45.2 million. Operating margins improved to 23%, up from 19% in the previous year.</w:t>
      </w:r>
    </w:p>
    <w:p>
      <w:pPr>
        <w:pStyle w:val="Heading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2. </w:t>
      </w:r>
      <w:r>
        <w:rPr>
          <w:rFonts w:ascii="Calibri" w:hAnsi="Calibri"/>
          <w:b w:val="false"/>
          <w:bCs w:val="false"/>
          <w:sz w:val="22"/>
          <w:szCs w:val="22"/>
          <w:u w:val="single"/>
        </w:rPr>
        <w:t>Financial Highlights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Total revenue reached $45.2 million, a significant increase from $38.3 million in 2024. Net income stood at $8.1 million, reflecting strong operational efficiency. The company maintained a healthy cash position of $12.4 million at year-end.</w:t>
      </w:r>
    </w:p>
    <w:p>
      <w:pPr>
        <w:pStyle w:val="Heading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3. </w:t>
      </w:r>
      <w:r>
        <w:rPr>
          <w:rFonts w:ascii="Calibri" w:hAnsi="Calibri"/>
          <w:b w:val="false"/>
          <w:bCs w:val="false"/>
          <w:sz w:val="22"/>
          <w:szCs w:val="22"/>
          <w:u w:val="single"/>
        </w:rPr>
        <w:t>Operational Review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engineering team shipped 47 product updates throughout the year, including three major platform releases. Customer satisfaction scores averaged 4.6 out of 5.0. Employee retention rate improved to 92%, up from 87% in the prior year.</w:t>
      </w:r>
    </w:p>
    <w:p>
      <w:pPr>
        <w:pStyle w:val="Heading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4. </w:t>
      </w:r>
      <w:r>
        <w:rPr>
          <w:rFonts w:ascii="Calibri" w:hAnsi="Calibri"/>
          <w:b w:val="false"/>
          <w:bCs w:val="false"/>
          <w:sz w:val="22"/>
          <w:szCs w:val="22"/>
          <w:u w:val="single"/>
        </w:rPr>
        <w:t>Market Analysis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Our market share in the enterprise segment grew to 15.3%, up from 12.1%. The total addressable market is estimated at $4.8 billion, growing at 12% annually. Key competitors include TechGiant Inc., DataFlow Systems, and CloudFirst Solutions.</w:t>
      </w:r>
    </w:p>
    <w:p>
      <w:pPr>
        <w:pStyle w:val="Heading1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5. </w:t>
      </w:r>
      <w:r>
        <w:rPr>
          <w:rFonts w:ascii="Calibri" w:hAnsi="Calibri"/>
          <w:b w:val="false"/>
          <w:bCs w:val="false"/>
          <w:sz w:val="22"/>
          <w:szCs w:val="22"/>
          <w:u w:val="single"/>
        </w:rPr>
        <w:t>Strategic Outlook</w:t>
      </w:r>
    </w:p>
    <w:p>
      <w:pPr>
        <w:pStyle w:val="Normal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For 2026, we plan to expand into three new geographic markets and launch two new product lines. </w:t>
      </w:r>
      <w:r>
        <w:rPr>
          <w:rFonts w:ascii="Calibri" w:hAnsi="Calibri"/>
          <w:b/>
          <w:bCs/>
          <w:i/>
          <w:iCs/>
          <w:sz w:val="22"/>
          <w:szCs w:val="22"/>
        </w:rPr>
        <w:t>R&amp;D investment will increase to 22% of revenue.</w:t>
      </w:r>
      <w:r>
        <w:rPr>
          <w:rFonts w:ascii="Calibri" w:hAnsi="Calibri"/>
          <w:sz w:val="22"/>
          <w:szCs w:val="22"/>
        </w:rPr>
        <w:t xml:space="preserve"> We expect revenue growth of 20-25% and aim to achieve profitability milestones ahead of sched</w:t>
      </w:r>
    </w:p>
    <w:p>
      <w:pPr>
        <w:pStyle w:val="Normal"/>
        <w:spacing w:before="0" w:after="200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 xml:space="preserve">--- </w:t>
      </w:r>
      <w:r>
        <w:rPr>
          <w:rFonts w:ascii="Calibri" w:hAnsi="Calibri"/>
          <w:sz w:val="22"/>
          <w:szCs w:val="22"/>
        </w:rPr>
        <w:t>End of Report ---</w:t>
      </w:r>
      <w:r>
        <w:rPr>
          <w:rFonts w:ascii="Calibri" w:hAnsi="Calibri"/>
          <w:sz w:val="22"/>
          <w:szCs w:val="22"/>
        </w:rPr>
        <w:t>ule.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">
    <w:charset w:val="01"/>
    <w:family w:val="swiss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LibreOffice/7.3.7.2$Linux_X86_64 LibreOffice_project/30$Build-2</Application>
  <AppVersion>15.0000</AppVersion>
  <Pages>1</Pages>
  <Words>212</Words>
  <Characters>1174</Characters>
  <CharactersWithSpaces>1372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en-HK</dc:language>
  <cp:lastModifiedBy/>
  <dcterms:modified xsi:type="dcterms:W3CDTF">2026-04-04T04:22:44Z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