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Calibri" w:hAnsi="Calibri"/>
          <w:b/>
          <w:b/>
          <w:bCs/>
          <w:color w:val="C9211E"/>
          <w:sz w:val="22"/>
          <w:szCs w:val="22"/>
          <w:vertAlign w:val="superscript"/>
        </w:rPr>
      </w:pPr>
      <w:r>
        <w:rPr>
          <w:rFonts w:ascii="Calibri" w:hAnsi="Calibri"/>
          <w:b/>
          <w:bCs/>
          <w:color w:val="C9211E"/>
          <w:sz w:val="22"/>
          <w:szCs w:val="22"/>
          <w:vertAlign w:val="superscript"/>
        </w:rPr>
        <w:t>INTERNAL DOCUMENT – DO NOT DISTRIBUTE</w:t>
      </w:r>
      <w:r>
        <w:rPr>
          <w:rFonts w:ascii="Calibri" w:hAnsi="Calibri"/>
          <w:b/>
          <w:bCs/>
          <w:color w:val="C9211E"/>
          <w:sz w:val="22"/>
          <w:szCs w:val="22"/>
          <w:vertAlign w:val="superscript"/>
        </w:rPr>
        <w:t>Company Remote Work Policy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Effective Date: January 1, 2025 | Version 3.0</w:t>
      </w:r>
    </w:p>
    <w:p>
      <w:pPr>
        <w:pStyle w:val="Heading1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1. </w:t>
      </w:r>
      <w:r>
        <w:rPr>
          <w:rFonts w:ascii="Calibri" w:hAnsi="Calibri"/>
          <w:b/>
          <w:bCs w:val="false"/>
          <w:color w:val="C9211E"/>
          <w:sz w:val="22"/>
          <w:szCs w:val="22"/>
        </w:rPr>
        <w:t>Purpose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This policy establishes guidelines for remote work arrangements to ensure productivity, collaboration, and work-life balance while maintaining the company's operational standards.</w:t>
      </w:r>
    </w:p>
    <w:p>
      <w:pPr>
        <w:pStyle w:val="Heading1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2. </w:t>
      </w:r>
      <w:r>
        <w:rPr>
          <w:rFonts w:ascii="Calibri" w:hAnsi="Calibri"/>
          <w:b/>
          <w:bCs w:val="false"/>
          <w:position w:val="0"/>
          <w:sz w:val="22"/>
          <w:sz w:val="22"/>
          <w:szCs w:val="22"/>
          <w:vertAlign w:val="baseline"/>
        </w:rPr>
        <w:t>Eligibility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All full-time employees who have completed their probation period (90 days) are eligible for remote work arrangements. Approval is subject to manager discretion and role requirements.</w:t>
      </w:r>
    </w:p>
    <w:p>
      <w:pPr>
        <w:pStyle w:val="Heading1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3. </w:t>
      </w:r>
      <w:r>
        <w:rPr>
          <w:rFonts w:ascii="Calibri" w:hAnsi="Calibri"/>
          <w:b/>
          <w:bCs w:val="false"/>
          <w:position w:val="0"/>
          <w:sz w:val="22"/>
          <w:sz w:val="22"/>
          <w:szCs w:val="22"/>
          <w:vertAlign w:val="baseline"/>
        </w:rPr>
        <w:t>Work Schedule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Remote employees must maintain core hours of 10:00 AM to 3:00 PM in their local time zone. </w:t>
      </w:r>
      <w:r>
        <w:rPr>
          <w:rFonts w:ascii="Calibri" w:hAnsi="Calibri"/>
          <w:i/>
          <w:iCs/>
          <w:sz w:val="22"/>
          <w:szCs w:val="22"/>
        </w:rPr>
        <w:t>Flexible hours outside of core hours are permitted with manager approval.</w:t>
      </w:r>
      <w:r>
        <w:rPr>
          <w:rFonts w:ascii="Calibri" w:hAnsi="Calibri"/>
          <w:sz w:val="22"/>
          <w:szCs w:val="22"/>
        </w:rPr>
        <w:t xml:space="preserve"> Total weekly hours should not exceed 45 hours without prior authorization.</w:t>
      </w:r>
    </w:p>
    <w:p>
      <w:pPr>
        <w:pStyle w:val="Heading1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4. </w:t>
      </w:r>
      <w:r>
        <w:rPr>
          <w:rFonts w:ascii="Calibri" w:hAnsi="Calibri"/>
          <w:b/>
          <w:bCs w:val="false"/>
          <w:position w:val="0"/>
          <w:sz w:val="22"/>
          <w:sz w:val="22"/>
          <w:szCs w:val="22"/>
          <w:vertAlign w:val="baseline"/>
        </w:rPr>
        <w:t>Equipment and Security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The company will provide a laptop, monitor, and necessary peripherals. Employees must use the company VPN for all work-related activities. Personal devices may not be used to access company data without IT department approval.</w:t>
      </w:r>
    </w:p>
    <w:p>
      <w:pPr>
        <w:pStyle w:val="Heading1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5. Communication Standards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Employees must be reachable via Slack during core hours and respond to messages within 30 minutes. Video must be enabled for all scheduled meetings. Weekly one-on-one meetings with direct managers are mandatory.</w:t>
      </w:r>
    </w:p>
    <w:p>
      <w:pPr>
        <w:pStyle w:val="Normal"/>
        <w:spacing w:before="0" w:after="20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Policy Owner: Human Resources Department | Review Cycle: Semi-annual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LibreOffice/7.3.7.2$Linux_X86_64 LibreOffice_project/30$Build-2</Application>
  <AppVersion>15.0000</AppVersion>
  <Pages>1</Pages>
  <Words>191</Words>
  <Characters>1126</Characters>
  <CharactersWithSpaces>1305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2026-04-04T04:32:40Z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