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Annual Performance Report 2025</w:t>
      </w:r>
    </w:p>
    <w:p>
      <w:pPr>
        <w:pStyle w:val="Normal"/>
        <w:rPr/>
      </w:pPr>
      <w:r>
        <w:rPr/>
        <w:t>Prepared by the Management Team</w:t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  <w:rPr/>
      </w:pPr>
      <w:r>
        <w:rPr/>
        <w:t>2. Financial Highlights</w:t>
      </w:r>
    </w:p>
    <w:p>
      <w:pPr>
        <w:pStyle w:val="Normal"/>
        <w:rPr/>
      </w:pPr>
      <w:r>
        <w:rPr/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Metric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2024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2025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Revenue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$38.3M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$45.2M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Net Income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$5.9M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$8.1M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Cash Position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$9.8M</w:t>
            </w:r>
          </w:p>
        </w:tc>
        <w:tc>
          <w:tcPr>
            <w:tcW w:w="2880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$12.4M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Operational Review</w:t>
      </w:r>
    </w:p>
    <w:p>
      <w:pPr>
        <w:pStyle w:val="Normal"/>
        <w:rPr/>
      </w:pPr>
      <w:r>
        <w:rPr/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  <w:rPr/>
      </w:pPr>
      <w:r>
        <w:rPr/>
        <w:t>4. Market Analysis</w:t>
      </w:r>
    </w:p>
    <w:p>
      <w:pPr>
        <w:pStyle w:val="Normal"/>
        <w:rPr/>
      </w:pPr>
      <w:r>
        <w:rPr/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  <w:rPr/>
      </w:pPr>
      <w:r>
        <w:rPr/>
        <w:t>5. Strategic Outlook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2</Pages>
  <Words>220</Words>
  <Characters>1232</Characters>
  <CharactersWithSpaces>1428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2026-04-04T04:30:22Z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