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/>
          <w:bCs/>
          <w:sz w:val="44"/>
          <w:szCs w:val="44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CONFIDENTIAL – Internal Use Only</w:t>
      </w:r>
    </w:p>
    <w:p>
      <w:pPr>
        <w:pStyle w:val="Title"/>
        <w:jc w:val="center"/>
        <w:rPr>
          <w:rFonts w:ascii="Times New Roman" w:hAnsi="Times New Roman"/>
          <w:b/>
          <w:b/>
          <w:bCs/>
          <w:sz w:val="44"/>
          <w:szCs w:val="44"/>
        </w:rPr>
      </w:pPr>
      <w:r>
        <w:rPr>
          <w:rFonts w:ascii="Times New Roman" w:hAnsi="Times New Roman"/>
          <w:b/>
          <w:bCs/>
          <w:sz w:val="44"/>
          <w:szCs w:val="44"/>
        </w:rPr>
        <w:t>Company Remote Work Policy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Effective Date: January 1, 2025 | Version 3.0</w:t>
      </w:r>
    </w:p>
    <w:p>
      <w:pPr>
        <w:pStyle w:val="Heading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1. PURPOSE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2. ELIGIBILITY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3. WORK SCHEDULE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4. EQUIPMENT AND SECURITY</w:t>
      </w:r>
    </w:p>
    <w:p>
      <w:pPr>
        <w:pStyle w:val="Normal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5. COMMUNICATION STANDARDS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Employees must be reachable via Slack during core hours and respond to messages within 30 minutes. Video must be enabled for all scheduled meetings. Weekly one-on-one meetings with direct managers are mandatory.</w:t>
      </w:r>
    </w:p>
    <w:p>
      <w:pPr>
        <w:pStyle w:val="Normal"/>
        <w:spacing w:before="0" w:after="2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Document Control: Version 3.0 | Last Updated: January 1, 2025 | Next Review: July 1, 2025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198</Words>
  <Characters>1136</Characters>
  <CharactersWithSpaces>1321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2026-04-07T21:46:07Z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