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INTERNAL DOCUMENT – DO NOT DISTRIBUTE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center"/>
        <w:rPr>
          <w:b/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Company Remote Work Policy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Effective Date: January 1, 2025 | Version 3.0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rPr/>
      </w:pPr>
      <w:r>
        <w:rPr/>
        <w:t>1. Purpose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This policy establishes guidelines for remote work arrangements to ensure productivity, collaboration, and work-life balance while maintaining the company’s operational standards.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2. Eligibility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3. Work Schedule</w:t>
      </w:r>
    </w:p>
    <w:p>
      <w:pPr>
        <w:pStyle w:val="Normal"/>
        <w:jc w:val="left"/>
        <w:rPr>
          <w:rFonts w:ascii="Calibri" w:hAnsi="Calibri"/>
          <w:i/>
          <w:i/>
          <w:iCs/>
          <w:sz w:val="22"/>
          <w:szCs w:val="22"/>
        </w:rPr>
      </w:pPr>
      <w:r>
        <w:rPr>
          <w:rFonts w:ascii="Calibri" w:hAnsi="Calibri"/>
          <w:i/>
          <w:iCs/>
          <w:sz w:val="22"/>
          <w:szCs w:val="22"/>
        </w:rPr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4. Equipment and Security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5. Communication Standards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Employees must be reachable via Slack during core hours and respond to messages within 30 minutes. Video must be enabled for all scheduled meetings. Weekly one-on-one meetings with direct managers are mandatory.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spacing w:before="0" w:after="20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Policy Owner: Human Resources Department | Review Cycle: Semi-annual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LibreOffice/7.3.7.2$Linux_X86_64 LibreOffice_project/30$Build-2</Application>
  <AppVersion>15.0000</AppVersion>
  <Pages>2</Pages>
  <Words>192</Words>
  <Characters>1126</Characters>
  <CharactersWithSpaces>1305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2026-04-07T21:28:00Z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