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Annual Performance Report 2025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Prepared by the Management Team</w:t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position w:val="0"/>
          <w:sz w:val="24"/>
          <w:sz w:val="24"/>
          <w:szCs w:val="24"/>
          <w:vertAlign w:val="baseline"/>
        </w:rPr>
        <w:t>Executive Summary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This report provides a comprehensive overview of our company's performance during the fiscal year 2025. Revenue grew by 18% year-over-year, reaching $45.2 million. Operating margins improved to 23%, up from 19% in the previous year.</w:t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2. Financial Highlights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Total revenue reached $45.2 million, a significant increase from $38.3 million in 2024. Net income stood at $8.1 million, reflecting strong operational efficiency. The company maintained a healthy cash position of $12.4 million at year-end.</w:t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3. Operational Review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The engineering team shipped 47 product updates throughout the year, including three major platform releases. Customer satisfaction scores averaged 4.6 out of 5.0. Employee retention rate improved to 92%, up from 87% in the prior year.</w:t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4. Market Analysis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Our market share in the enterprise segment grew to 15.3%, up from 12.1%. The total addressable market is estimated at $4.8 billion, growing at 12% annually. Key competitors include TechGiant Inc., DataFlow Systems, and CloudFirst Solutions.</w:t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5. Strategic Outlook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For 2026, we plan to expand into three new geographic markets and launch two new product lines. R&amp;D investment will increase to 22% of revenue. We expect revenue growth of 20-25% and aim to achieve profitability milestones ahead of schedule</w:t>
      </w:r>
      <w:r>
        <w:rPr>
          <w:sz w:val="24"/>
          <w:szCs w:val="24"/>
        </w:rPr>
        <w:t>.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sz w:val="24"/>
          <w:szCs w:val="24"/>
        </w:rPr>
        <w:t>This report was reviewed and approved by the Board of Directors on March 31, 2025.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3366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221</Words>
  <Characters>1225</Characters>
  <CharactersWithSpaces>1433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2026-04-06T13:18:28Z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