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Report 2026</w:t>
      </w:r>
    </w:p>
    <w:p>
      <w:pPr>
        <w:pStyle w:val="Heading1"/>
      </w:pPr>
      <w:r>
        <w:t>Summary</w:t>
      </w:r>
    </w:p>
    <w:p>
      <w:r>
        <w:t>This document exercises the styles the Word to PDF renderer has to handle: headings, body text, emphasis and a grid table.</w:t>
      </w:r>
    </w:p>
    <w:p>
      <w:pPr>
        <w:pStyle w:val="Heading2"/>
      </w:pPr>
      <w:r>
        <w:t>Regional breakdown</w:t>
      </w:r>
    </w:p>
    <w:p>
      <w:r>
        <w:t xml:space="preserve">Revenue grew </w:t>
      </w:r>
      <w:r>
        <w:rPr>
          <w:b/>
        </w:rPr>
        <w:t>boldly</w:t>
      </w:r>
      <w:r>
        <w:t xml:space="preserve"> in the north, and </w:t>
      </w:r>
      <w:r>
        <w:rPr>
          <w:i/>
        </w:rPr>
        <w:t>declined</w:t>
      </w:r>
      <w:r>
        <w:t xml:space="preserve"> in the east.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1,204</w:t>
            </w:r>
          </w:p>
        </w:tc>
        <w:tc>
          <w:tcPr>
            <w:tcW w:type="dxa" w:w="2160"/>
          </w:tcPr>
          <w:p>
            <w:r>
              <w:t>148,320.00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932</w:t>
            </w:r>
          </w:p>
        </w:tc>
        <w:tc>
          <w:tcPr>
            <w:tcW w:type="dxa" w:w="2160"/>
          </w:tcPr>
          <w:p>
            <w:r>
              <w:t>96,410.50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East</w:t>
            </w:r>
          </w:p>
        </w:tc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61,055.25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1,088</w:t>
            </w:r>
          </w:p>
        </w:tc>
        <w:tc>
          <w:tcPr>
            <w:tcW w:type="dxa" w:w="2160"/>
          </w:tcPr>
          <w:p>
            <w:r>
              <w:t>131,002.75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Appendix</w:t>
      </w:r>
    </w:p>
    <w:p>
      <w:r>
        <w:t>A second page, so page counts can be checked by eye.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