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30"/>
        </w:rPr>
        <w:t>MRX HEALTH TECH</w:t>
      </w:r>
    </w:p>
    <w:p>
      <w:pPr>
        <w:spacing w:before="360" w:after="160"/>
        <w:jc w:val="center"/>
      </w:pPr>
      <w:r>
        <w:rPr>
          <w:b/>
          <w:color w:val="1F4E79"/>
          <w:sz w:val="60"/>
        </w:rPr>
        <w:t>TB Patient Monitoring Platform</w:t>
      </w:r>
    </w:p>
    <w:p>
      <w:pPr>
        <w:pStyle w:val="SubtitleCustom"/>
        <w:jc w:val="center"/>
      </w:pPr>
      <w:r>
        <w:t>Product Requirements Specification (PRS)</w:t>
      </w:r>
    </w:p>
    <w:p>
      <w:pPr>
        <w:spacing w:before="600"/>
        <w:jc w:val="center"/>
      </w:pPr>
      <w:r>
        <w:rPr>
          <w:color w:val="595959"/>
          <w:sz w:val="24"/>
        </w:rPr>
        <w:t>A production-oriented requirements baseline for a future deployable healthcare system</w:t>
      </w: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b/>
                <w:color w:val="1F4E79"/>
              </w:rPr>
              <w:t xml:space="preserve">Document status: </w:t>
            </w:r>
            <w:r>
              <w:rPr>
                <w:sz w:val="18"/>
              </w:rPr>
              <w:t>Draft v1.0 for product, engineering and clinical review. This document separates source-derived requirements from proposed TB-specific requirements that must be clinically validated before implementation.</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Document attribute</w:t>
            </w:r>
          </w:p>
        </w:tc>
        <w:tc>
          <w:tcPr>
            <w:tcW w:type="dxa" w:w="5040"/>
            <w:vAlign w:val="center"/>
            <w:shd w:fill="1F4E78"/>
          </w:tcPr>
          <w:p>
            <w:pPr>
              <w:spacing w:after="40"/>
            </w:pPr>
            <w:r/>
            <w:r>
              <w:rPr>
                <w:b/>
                <w:color w:val="FFFFFF"/>
                <w:sz w:val="17"/>
              </w:rPr>
              <w:t>Value</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Product</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MRX TB Patient Monitoring Platform</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Document type</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Product Requirements Specification / Software Requirements Baseline</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Version</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1.0 Draft</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Date</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01 October 2026</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Primary scope</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TB patient longitudinal monitoring, biomarker/test recording, dashboard, reporting and integration readiness</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Clinical boundary</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Decision-support and monitoring platform; not an autonomous diagnostic or treatment decision engine</w:t>
            </w:r>
          </w:p>
        </w:tc>
      </w:tr>
    </w:tbl>
    <w:p>
      <w:pPr>
        <w:spacing w:after="40"/>
      </w:pPr>
    </w:p>
    <w:p>
      <w:pPr>
        <w:spacing w:before="1200"/>
        <w:jc w:val="center"/>
      </w:pPr>
      <w:r>
        <w:rPr>
          <w:i/>
          <w:sz w:val="18"/>
        </w:rPr>
        <w:t>Prepared from the supplied MRX product concept note and Technical Evaluation Assignment, with TB-specific requirements explicitly marked as proposed. No clinical protocol is assumed to be final until approved by the appropriate clinical and regulatory stakeholders.</w:t>
      </w:r>
    </w:p>
    <w:p>
      <w:r>
        <w:br w:type="page"/>
      </w:r>
    </w:p>
    <w:p>
      <w:pPr>
        <w:pStyle w:val="Heading1"/>
        <w:keepNext/>
      </w:pPr>
      <w:r>
        <w:t>1. Document Control and Status</w:t>
      </w:r>
    </w:p>
    <w:p>
      <w:pPr>
        <w:spacing w:after="120"/>
      </w:pPr>
      <w:r>
        <w:t>This document defines the product and software requirements for a future working TB patient monitoring platform derived from the supplied MRX materials. It is intentionally broader than the original evaluation assignment. The assignment is treated as the initial functional baseline, not as the final product boundary.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Item</w:t>
            </w:r>
          </w:p>
        </w:tc>
        <w:tc>
          <w:tcPr>
            <w:tcW w:type="dxa" w:w="5040"/>
            <w:vAlign w:val="center"/>
            <w:shd w:fill="1F4E78"/>
          </w:tcPr>
          <w:p>
            <w:pPr>
              <w:spacing w:after="40"/>
            </w:pPr>
            <w:r/>
            <w:r>
              <w:rPr>
                <w:b/>
                <w:color w:val="FFFFFF"/>
                <w:sz w:val="17"/>
              </w:rPr>
              <w:t>Definition</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Requirement classes</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MRX/source-derived; Proposed TB-specific; Non-functional; Future/roadmap</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Priority</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Must = required for the core product; Should = important for production readiness; Could = optional; Future = later phase</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Clinical validation</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Any TB-specific field, workflow, alert, threshold, interpretation or treatment logic must be approved by qualified clinical stakeholders before release.</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Regulatory readiness</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Applicable medical-device, health-data, security, interoperability and clinical software obligations must be identified for the target deployment jurisdiction before production deployment.</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Primary audience</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Product owner, clinical lead, software engineers, QA, DevOps, data/AI engineers, security and regulatory stakeholders</w:t>
            </w:r>
          </w:p>
        </w:tc>
      </w:tr>
    </w:tbl>
    <w:p>
      <w:pPr>
        <w:spacing w:after="40"/>
      </w:pPr>
    </w:p>
    <w:p>
      <w:pPr>
        <w:pStyle w:val="Heading1"/>
        <w:keepNext/>
      </w:pPr>
      <w:r>
        <w:t>2. Source Basis and Traceability</w:t>
      </w:r>
    </w:p>
    <w:p>
      <w:pPr>
        <w:spacing w:after="120"/>
      </w:pPr>
      <w:r>
        <w:t>The requirements below are grounded first in the two materials supplied by the user. The MRX concept note states that the current prototype supports CRP detection, patient management, Wi-Fi connectivity, a mobile web dashboard, automated report generation and local patient data storage. It also describes a modular path toward additional biomarkers, multiplex sensing and later AI-assisted interpretation. The Technical Evaluation Assignment specifies patient management, test/biomarker records, a patient dashboard, trend visualization, basic reporting and technical implementation expectations. These source-derived elements are retained here. TB-specific clinical fields and workflows are explicitly marked as proposed and are not presented as facts from the supplied materials.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Source</w:t>
            </w:r>
          </w:p>
        </w:tc>
        <w:tc>
          <w:tcPr>
            <w:tcW w:type="dxa" w:w="5040"/>
            <w:vAlign w:val="center"/>
            <w:shd w:fill="1F4E78"/>
          </w:tcPr>
          <w:p>
            <w:pPr>
              <w:spacing w:after="40"/>
            </w:pPr>
            <w:r/>
            <w:r>
              <w:rPr>
                <w:b/>
                <w:color w:val="FFFFFF"/>
                <w:sz w:val="17"/>
              </w:rPr>
              <w:t>What it contributes to this PRS</w:t>
            </w:r>
          </w:p>
        </w:tc>
      </w:tr>
      <w:tr>
        <w:tc>
          <w:tcPr>
            <w:tcW w:type="dxa" w:w="3600"/>
            <w:vAlign w:val="center"/>
            <w:tcBorders>
              <w:top w:val="single" w:sz="4" w:color="D9E2F3"/>
              <w:left w:val="single" w:sz="4" w:color="D9E2F3"/>
              <w:bottom w:val="single" w:sz="4" w:color="D9E2F3"/>
              <w:right w:val="single" w:sz="4" w:color="D9E2F3"/>
            </w:tcBorders>
          </w:tcPr>
          <w:p>
            <w:pPr>
              <w:spacing w:after="40"/>
            </w:pPr>
            <w:r/>
            <w:r>
              <w:rPr>
                <w:b w:val="0"/>
                <w:sz w:val="17"/>
              </w:rPr>
              <w:t>MRX Precision Biomarker Analyzer - Brief Product Concept Note</w:t>
            </w:r>
          </w:p>
        </w:tc>
        <w:tc>
          <w:tcPr>
            <w:tcW w:type="dxa" w:w="7056"/>
            <w:vAlign w:val="center"/>
            <w:tcBorders>
              <w:top w:val="single" w:sz="4" w:color="D9E2F3"/>
              <w:left w:val="single" w:sz="4" w:color="D9E2F3"/>
              <w:bottom w:val="single" w:sz="4" w:color="D9E2F3"/>
              <w:right w:val="single" w:sz="4" w:color="D9E2F3"/>
            </w:tcBorders>
          </w:tcPr>
          <w:p>
            <w:pPr>
              <w:spacing w:after="40"/>
            </w:pPr>
            <w:r/>
            <w:r>
              <w:rPr>
                <w:b w:val="0"/>
                <w:sz w:val="17"/>
              </w:rPr>
              <w:t>Product vision, current MVP capabilities, modular biomarker architecture, future multi-biomarker direction, AI roadmap, target deployment environments and product evolution.</w:t>
            </w:r>
          </w:p>
        </w:tc>
      </w:tr>
      <w:tr>
        <w:tc>
          <w:tcPr>
            <w:tcW w:type="dxa" w:w="3600"/>
            <w:vAlign w:val="center"/>
            <w:tcBorders>
              <w:top w:val="single" w:sz="4" w:color="D9E2F3"/>
              <w:left w:val="single" w:sz="4" w:color="D9E2F3"/>
              <w:bottom w:val="single" w:sz="4" w:color="D9E2F3"/>
              <w:right w:val="single" w:sz="4" w:color="D9E2F3"/>
            </w:tcBorders>
          </w:tcPr>
          <w:p>
            <w:pPr>
              <w:spacing w:after="40"/>
            </w:pPr>
            <w:r/>
            <w:r>
              <w:rPr>
                <w:b w:val="0"/>
                <w:sz w:val="17"/>
              </w:rPr>
              <w:t>MRX HealthTech - Technical Evaluation Assignment</w:t>
            </w:r>
          </w:p>
        </w:tc>
        <w:tc>
          <w:tcPr>
            <w:tcW w:type="dxa" w:w="7056"/>
            <w:vAlign w:val="center"/>
            <w:tcBorders>
              <w:top w:val="single" w:sz="4" w:color="D9E2F3"/>
              <w:left w:val="single" w:sz="4" w:color="D9E2F3"/>
              <w:bottom w:val="single" w:sz="4" w:color="D9E2F3"/>
              <w:right w:val="single" w:sz="4" w:color="D9E2F3"/>
            </w:tcBorders>
          </w:tcPr>
          <w:p>
            <w:pPr>
              <w:spacing w:after="40"/>
            </w:pPr>
            <w:r/>
            <w:r>
              <w:rPr>
                <w:b w:val="0"/>
                <w:sz w:val="17"/>
              </w:rPr>
              <w:t>Initial dashboard scope: patient management, test/biomarker records, latest/previous results, date-wise history, trend chart, basic report, backend/API/database validation and documentation expectations.</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Pr>
          <w:p>
            <w:pPr>
              <w:spacing w:after="0"/>
            </w:pPr>
            <w:r/>
            <w:r>
              <w:rPr>
                <w:b/>
                <w:color w:val="1F4E79"/>
              </w:rPr>
              <w:t xml:space="preserve">Source boundary: </w:t>
            </w:r>
            <w:r>
              <w:rPr>
                <w:sz w:val="18"/>
              </w:rPr>
              <w:t>The supplied MRX materials do not define a finalized TB clinical protocol, treatment regimen model, validated alert thresholds, diagnostic interpretation rules, regulatory classification, or production interoperability profile. Those items remain open and must be formally specified before clinical deployment.</w:t>
            </w:r>
          </w:p>
        </w:tc>
      </w:tr>
    </w:tbl>
    <w:p>
      <w:pPr>
        <w:spacing w:after="40"/>
      </w:pPr>
    </w:p>
    <w:p>
      <w:pPr>
        <w:pStyle w:val="Heading1"/>
        <w:keepNext/>
      </w:pPr>
      <w:r>
        <w:t>3. Executive Summary</w:t>
      </w:r>
    </w:p>
    <w:p>
      <w:pPr>
        <w:spacing w:after="120"/>
      </w:pPr>
      <w:r>
        <w:t>The MRX TB Patient Monitoring Platform is a future production-oriented web-based healthcare system intended to maintain a longitudinal digital record for TB patients, capture structured clinical and laboratory observations, monitor biomarker/test trends over time, support follow-up workflows, provide role-based dashboards, produce authorized reports and remain ready for integration with MRX point-of-care diagnostic devices.</w:t>
      </w:r>
    </w:p>
    <w:p>
      <w:pPr>
        <w:spacing w:after="120"/>
      </w:pPr>
      <w:r>
        <w:t>The system is not defined as a standalone TB diagnosis engine. Its primary role is to organize patient data, monitor longitudinal change and present information to authorized healthcare users. Future AI components may assist with data summarization, risk stratification or interpretation only after the relevant clinical rules, validation datasets, safety controls and regulatory requirements have been established.</w:t>
      </w:r>
    </w:p>
    <w:p>
      <w:pPr>
        <w:pStyle w:val="Heading1"/>
        <w:keepNext/>
      </w:pPr>
      <w:r>
        <w:t>4. Product Vision</w:t>
      </w:r>
    </w:p>
    <w:p>
      <w:pPr>
        <w:spacing w:after="120"/>
      </w:pPr>
      <w:r>
        <w:t>The long-term MRX concept is a portable, AI-enabled point-of-care diagnostic platform that evolves from the current single-biomarker CRP analyzer into a modular multi-biomarker hospital monitoring system. The software platform therefore needs to be designed as a reusable patient and biomarker data system rather than a CRP-only application. This TB platform applies that principle to a disease-specific monitoring workflow while preserving future extensibility.</w:t>
      </w:r>
    </w:p>
    <w:p>
      <w:pPr>
        <w:pStyle w:val="Heading1"/>
        <w:keepNext/>
      </w:pPr>
      <w:r>
        <w:t>5. Product Objectives</w:t>
      </w:r>
    </w:p>
    <w:p>
      <w:pPr>
        <w:pStyle w:val="ListBullet"/>
        <w:spacing w:after="40"/>
      </w:pPr>
      <w:r>
        <w:rPr>
          <w:b/>
        </w:rPr>
        <w:t xml:space="preserve">O1 - Longitudinal patient record: </w:t>
      </w:r>
      <w:r>
        <w:t>Maintain a coherent, time-ordered record of a TB patient across visits and monitoring events.</w:t>
      </w:r>
    </w:p>
    <w:p>
      <w:pPr>
        <w:pStyle w:val="ListBullet"/>
        <w:spacing w:after="40"/>
      </w:pPr>
      <w:r>
        <w:rPr>
          <w:b/>
        </w:rPr>
        <w:t xml:space="preserve">O2 - Structured biomarker/test data: </w:t>
      </w:r>
      <w:r>
        <w:t>Store results as reusable, typed observations instead of hard-coded CRP fields.</w:t>
      </w:r>
    </w:p>
    <w:p>
      <w:pPr>
        <w:pStyle w:val="ListBullet"/>
        <w:spacing w:after="40"/>
      </w:pPr>
      <w:r>
        <w:rPr>
          <w:b/>
        </w:rPr>
        <w:t xml:space="preserve">O3 - Follow-up monitoring: </w:t>
      </w:r>
      <w:r>
        <w:t>Provide a consistent workflow for scheduled and unscheduled patient follow-up records.</w:t>
      </w:r>
    </w:p>
    <w:p>
      <w:pPr>
        <w:pStyle w:val="ListBullet"/>
        <w:spacing w:after="40"/>
      </w:pPr>
      <w:r>
        <w:rPr>
          <w:b/>
        </w:rPr>
        <w:t xml:space="preserve">O4 - Clinician visibility: </w:t>
      </w:r>
      <w:r>
        <w:t>Give authorized users a concise dashboard showing current status, history and trends.</w:t>
      </w:r>
    </w:p>
    <w:p>
      <w:pPr>
        <w:pStyle w:val="ListBullet"/>
        <w:spacing w:after="40"/>
      </w:pPr>
      <w:r>
        <w:rPr>
          <w:b/>
        </w:rPr>
        <w:t xml:space="preserve">O5 - Reporting: </w:t>
      </w:r>
      <w:r>
        <w:t>Generate reliable patient summaries and audit-friendly reports.</w:t>
      </w:r>
    </w:p>
    <w:p>
      <w:pPr>
        <w:pStyle w:val="ListBullet"/>
        <w:spacing w:after="40"/>
      </w:pPr>
      <w:r>
        <w:rPr>
          <w:b/>
        </w:rPr>
        <w:t xml:space="preserve">O6 - Device readiness: </w:t>
      </w:r>
      <w:r>
        <w:t>Provide integration boundaries for MRX point-of-care devices and future biomarker modules.</w:t>
      </w:r>
    </w:p>
    <w:p>
      <w:pPr>
        <w:pStyle w:val="ListBullet"/>
        <w:spacing w:after="40"/>
      </w:pPr>
      <w:r>
        <w:rPr>
          <w:b/>
        </w:rPr>
        <w:t xml:space="preserve">O7 - Production foundation: </w:t>
      </w:r>
      <w:r>
        <w:t>Build security, auditability, data integrity, observability and maintainability into the core architecture.</w:t>
      </w:r>
    </w:p>
    <w:p>
      <w:pPr>
        <w:pStyle w:val="ListBullet"/>
        <w:spacing w:after="40"/>
      </w:pPr>
      <w:r>
        <w:rPr>
          <w:b/>
        </w:rPr>
        <w:t xml:space="preserve">O8 - Future intelligence: </w:t>
      </w:r>
      <w:r>
        <w:t>Create a safe separation between the clinical record and future AI/analytics services.</w:t>
      </w:r>
    </w:p>
    <w:p>
      <w:pPr>
        <w:pStyle w:val="Heading1"/>
        <w:keepNext/>
      </w:pPr>
      <w:r>
        <w:t>6. Scope</w:t>
      </w:r>
    </w:p>
    <w:p>
      <w:pPr>
        <w:pStyle w:val="Heading2"/>
        <w:keepNext/>
      </w:pPr>
      <w:r>
        <w:t>6.1 In Scope - Core Product</w:t>
      </w:r>
    </w:p>
    <w:p>
      <w:pPr>
        <w:pStyle w:val="ListBullet"/>
        <w:spacing w:after="40"/>
      </w:pPr>
      <w:r>
        <w:t>Patient registration and longitudinal patient profile management.</w:t>
      </w:r>
    </w:p>
    <w:p>
      <w:pPr>
        <w:pStyle w:val="ListBullet"/>
        <w:spacing w:after="40"/>
      </w:pPr>
      <w:r>
        <w:t>TB case/episode record linked to the patient.</w:t>
      </w:r>
    </w:p>
    <w:p>
      <w:pPr>
        <w:pStyle w:val="ListBullet"/>
        <w:spacing w:after="40"/>
      </w:pPr>
      <w:r>
        <w:t>Clinical encounters / follow-up records.</w:t>
      </w:r>
    </w:p>
    <w:p>
      <w:pPr>
        <w:pStyle w:val="ListBullet"/>
        <w:spacing w:after="40"/>
      </w:pPr>
      <w:r>
        <w:t>Laboratory and biomarker test records with dates, units and result values.</w:t>
      </w:r>
    </w:p>
    <w:p>
      <w:pPr>
        <w:pStyle w:val="ListBullet"/>
        <w:spacing w:after="40"/>
      </w:pPr>
      <w:r>
        <w:t>Flexible biomarker master data and reference metadata.</w:t>
      </w:r>
    </w:p>
    <w:p>
      <w:pPr>
        <w:pStyle w:val="ListBullet"/>
        <w:spacing w:after="40"/>
      </w:pPr>
      <w:r>
        <w:t>Treatment monitoring record capture, without hard-coded treatment decisions.</w:t>
      </w:r>
    </w:p>
    <w:p>
      <w:pPr>
        <w:pStyle w:val="ListBullet"/>
        <w:spacing w:after="40"/>
      </w:pPr>
      <w:r>
        <w:t>Symptom and clinical observation capture.</w:t>
      </w:r>
    </w:p>
    <w:p>
      <w:pPr>
        <w:pStyle w:val="ListBullet"/>
        <w:spacing w:after="40"/>
      </w:pPr>
      <w:r>
        <w:t>Dashboard with latest values, history and trend charts.</w:t>
      </w:r>
    </w:p>
    <w:p>
      <w:pPr>
        <w:pStyle w:val="ListBullet"/>
        <w:spacing w:after="40"/>
      </w:pPr>
      <w:r>
        <w:t>Search, filter and patient timeline.</w:t>
      </w:r>
    </w:p>
    <w:p>
      <w:pPr>
        <w:pStyle w:val="ListBullet"/>
        <w:spacing w:after="40"/>
      </w:pPr>
      <w:r>
        <w:t>Role-based access control and audit trail.</w:t>
      </w:r>
    </w:p>
    <w:p>
      <w:pPr>
        <w:pStyle w:val="ListBullet"/>
        <w:spacing w:after="40"/>
      </w:pPr>
      <w:r>
        <w:t>Report generation and export.</w:t>
      </w:r>
    </w:p>
    <w:p>
      <w:pPr>
        <w:pStyle w:val="ListBullet"/>
        <w:spacing w:after="40"/>
      </w:pPr>
      <w:r>
        <w:t>MRX device/API integration boundary.</w:t>
      </w:r>
    </w:p>
    <w:p>
      <w:pPr>
        <w:pStyle w:val="ListBullet"/>
        <w:spacing w:after="40"/>
      </w:pPr>
      <w:r>
        <w:t>Data validation, error handling, logging and operational monitoring.</w:t>
      </w:r>
    </w:p>
    <w:p>
      <w:pPr>
        <w:pStyle w:val="Heading2"/>
        <w:keepNext/>
      </w:pPr>
      <w:r>
        <w:t>6.2 Out of Scope for the Initial Product Baseline</w:t>
      </w:r>
    </w:p>
    <w:p>
      <w:pPr>
        <w:pStyle w:val="ListBullet"/>
        <w:spacing w:after="40"/>
      </w:pPr>
      <w:r>
        <w:t>Autonomous diagnosis of TB.</w:t>
      </w:r>
    </w:p>
    <w:p>
      <w:pPr>
        <w:pStyle w:val="ListBullet"/>
        <w:spacing w:after="40"/>
      </w:pPr>
      <w:r>
        <w:t>Autonomous prescription or treatment selection.</w:t>
      </w:r>
    </w:p>
    <w:p>
      <w:pPr>
        <w:pStyle w:val="ListBullet"/>
        <w:spacing w:after="40"/>
      </w:pPr>
      <w:r>
        <w:t>Automated clinical decision-making without clinician review.</w:t>
      </w:r>
    </w:p>
    <w:p>
      <w:pPr>
        <w:pStyle w:val="ListBullet"/>
        <w:spacing w:after="40"/>
      </w:pPr>
      <w:r>
        <w:t>Unvalidated clinical alerts or reference thresholds presented as medical facts.</w:t>
      </w:r>
    </w:p>
    <w:p>
      <w:pPr>
        <w:pStyle w:val="ListBullet"/>
        <w:spacing w:after="40"/>
      </w:pPr>
      <w:r>
        <w:t>Physical biosensor, disposable cartridge or PCB design itself.</w:t>
      </w:r>
    </w:p>
    <w:p>
      <w:pPr>
        <w:pStyle w:val="ListBullet"/>
        <w:spacing w:after="40"/>
      </w:pPr>
      <w:r>
        <w:t>Clinical validation studies and regulatory approval activities inside the software sprint.</w:t>
      </w:r>
    </w:p>
    <w:p>
      <w:pPr>
        <w:pStyle w:val="Heading2"/>
        <w:keepNext/>
      </w:pPr>
      <w:r>
        <w:t>6.3 Future Scope</w:t>
      </w:r>
    </w:p>
    <w:p>
      <w:pPr>
        <w:pStyle w:val="ListBullet"/>
        <w:spacing w:after="40"/>
      </w:pPr>
      <w:r>
        <w:t>Additional MRX biomarkers beyond the current CRP prototype.</w:t>
      </w:r>
    </w:p>
    <w:p>
      <w:pPr>
        <w:pStyle w:val="ListBullet"/>
        <w:spacing w:after="40"/>
      </w:pPr>
      <w:r>
        <w:t>Multiplex biosensor cartridge integration.</w:t>
      </w:r>
    </w:p>
    <w:p>
      <w:pPr>
        <w:pStyle w:val="ListBullet"/>
        <w:spacing w:after="40"/>
      </w:pPr>
      <w:r>
        <w:t>Near-real-time device telemetry and automated result ingestion.</w:t>
      </w:r>
    </w:p>
    <w:p>
      <w:pPr>
        <w:pStyle w:val="ListBullet"/>
        <w:spacing w:after="40"/>
      </w:pPr>
      <w:r>
        <w:t>AI-assisted interpretation and longitudinal summarization.</w:t>
      </w:r>
    </w:p>
    <w:p>
      <w:pPr>
        <w:pStyle w:val="ListBullet"/>
        <w:spacing w:after="40"/>
      </w:pPr>
      <w:r>
        <w:t>Clinical decision-support functions subject to clinical validation and regulatory review.</w:t>
      </w:r>
    </w:p>
    <w:p>
      <w:pPr>
        <w:pStyle w:val="ListBullet"/>
        <w:spacing w:after="40"/>
      </w:pPr>
      <w:r>
        <w:t>Hospital and public-health system interoperability.</w:t>
      </w:r>
    </w:p>
    <w:p>
      <w:pPr>
        <w:pStyle w:val="Heading1"/>
        <w:keepNext/>
      </w:pPr>
      <w:r>
        <w:t>7. Stakeholders and User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Role</w:t>
            </w:r>
          </w:p>
        </w:tc>
        <w:tc>
          <w:tcPr>
            <w:tcW w:type="dxa" w:w="3360"/>
            <w:vAlign w:val="center"/>
            <w:shd w:fill="1F4E78"/>
          </w:tcPr>
          <w:p>
            <w:pPr>
              <w:spacing w:after="40"/>
            </w:pPr>
            <w:r/>
            <w:r>
              <w:rPr>
                <w:b/>
                <w:color w:val="FFFFFF"/>
                <w:sz w:val="17"/>
              </w:rPr>
              <w:t>Primary responsibilities</w:t>
            </w:r>
          </w:p>
        </w:tc>
        <w:tc>
          <w:tcPr>
            <w:tcW w:type="dxa" w:w="3360"/>
            <w:vAlign w:val="center"/>
            <w:shd w:fill="1F4E78"/>
          </w:tcPr>
          <w:p>
            <w:pPr>
              <w:spacing w:after="40"/>
            </w:pPr>
            <w:r/>
            <w:r>
              <w:rPr>
                <w:b/>
                <w:color w:val="FFFFFF"/>
                <w:sz w:val="17"/>
              </w:rPr>
              <w:t>Access model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Clinician / Doctor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Review patient history, enter or verify clinical records, review tests, view trends, add notes, generate reports.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Patient/case scope assigned to user or facility.</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Nurse / Treatment Support Staff</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Record follow-up observations, adherence observations and care-support information as authorized.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Limited clinical write access; no administrative privileges.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Laboratory User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Enter or verify laboratory results and test metadata.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Laboratory/test scope only.</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Program / Reporting User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View authorized aggregate or reporting information.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Read/reporting access only, with privacy controls.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System Administrator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Manage users, roles, configuration, reference data and operational settings.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No default access to clinical content beyond what is explicitly required.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Integration Service Account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Exchange validated device/API 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Machine-to-machine scoped access; no interactive login.</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Pr>
          <w:p>
            <w:pPr>
              <w:spacing w:after="0"/>
            </w:pPr>
            <w:r/>
            <w:r>
              <w:rPr>
                <w:b/>
                <w:color w:val="1F4E79"/>
              </w:rPr>
              <w:t xml:space="preserve">Role principle: </w:t>
            </w:r>
            <w:r>
              <w:rPr>
                <w:sz w:val="18"/>
              </w:rPr>
              <w:t>Least privilege is required. A user should only receive the permissions necessary for their job. Sensitive actions and exports must be auditable.</w:t>
            </w:r>
          </w:p>
        </w:tc>
      </w:tr>
    </w:tbl>
    <w:p>
      <w:pPr>
        <w:spacing w:after="40"/>
      </w:pPr>
    </w:p>
    <w:p>
      <w:pPr>
        <w:pStyle w:val="Heading1"/>
        <w:keepNext/>
      </w:pPr>
      <w:r>
        <w:t>8. High-Level Product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Stage</w:t>
            </w:r>
          </w:p>
        </w:tc>
        <w:tc>
          <w:tcPr>
            <w:tcW w:type="dxa" w:w="3360"/>
            <w:vAlign w:val="center"/>
            <w:shd w:fill="1F4E78"/>
          </w:tcPr>
          <w:p>
            <w:pPr>
              <w:spacing w:after="40"/>
            </w:pPr>
            <w:r/>
            <w:r>
              <w:rPr>
                <w:b/>
                <w:color w:val="FFFFFF"/>
                <w:sz w:val="17"/>
              </w:rPr>
              <w:t>System behavior</w:t>
            </w:r>
          </w:p>
        </w:tc>
        <w:tc>
          <w:tcPr>
            <w:tcW w:type="dxa" w:w="3360"/>
            <w:vAlign w:val="center"/>
            <w:shd w:fill="1F4E78"/>
          </w:tcPr>
          <w:p>
            <w:pPr>
              <w:spacing w:after="40"/>
            </w:pPr>
            <w:r/>
            <w:r>
              <w:rPr>
                <w:b/>
                <w:color w:val="FFFFFF"/>
                <w:sz w:val="17"/>
              </w:rPr>
              <w:t>Key outputs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1. Patient registration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or locate patient using a controlled identity workflow.</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Unique patient record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2. TB case creation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Open a TB case/episode linked to the patient; capture validated case metadata.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Active TB case record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3. Baseline record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Capture baseline clinical, laboratory and relevant biomarker information according to the approved care protocol.</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Baseline dataset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4. Treatment/follow-up</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dated follow-up encounters and record treatment/adherence information as authorized.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Longitudinal follow-up records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5. Tests/biomarkers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Capture manual or integrated results with provenance and validation.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Structured test/biomarker observations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6. Monitoring dashboard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Show current status, recent observations, timeline and trends.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Clinician-facing view</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7. Review/report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Allow authorized users to review and generate a patient report.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Auditable report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8. Future analytics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Provide de-identified/authorized data to analytics or AI services under controlled interfaces.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Model input/output with traceability</w:t>
            </w:r>
          </w:p>
        </w:tc>
      </w:tr>
    </w:tbl>
    <w:p>
      <w:pPr>
        <w:spacing w:after="40"/>
      </w:pPr>
    </w:p>
    <w:p>
      <w:pPr>
        <w:pStyle w:val="Heading1"/>
        <w:keepNext/>
      </w:pPr>
      <w:r>
        <w:t>9. Functional Requirements</w:t>
      </w:r>
    </w:p>
    <w:p>
      <w:pPr>
        <w:spacing w:after="120"/>
      </w:pPr>
      <w:r>
        <w:t>The IDs below form the baseline requirements catalogue. Priority and TB-specific content can be revised after clinical review. Acceptance statements are written so that a QA team can convert them directly into test cases.</w:t>
      </w:r>
    </w:p>
    <w:p>
      <w:pPr>
        <w:spacing w:after="40"/>
      </w:pPr>
      <w:r>
        <w:rPr>
          <w:b/>
          <w:sz w:val="22"/>
        </w:rPr>
        <w:t>FR-01 - Patient registration and unique identity</w:t>
      </w:r>
    </w:p>
    <w:p>
      <w:pPr>
        <w:spacing w:after="80"/>
      </w:pPr>
      <w:r>
        <w:rPr>
          <w:b/>
        </w:rPr>
        <w:t xml:space="preserve">Priority: Must  |  </w:t>
      </w:r>
      <w:r>
        <w:t>The system shall create a patient profile with a unique internal patient identifier and the minimum approved demographic/contact information. Duplicate creation shall be prevented or routed to a controlled duplicate-resolution workflow.</w:t>
      </w:r>
    </w:p>
    <w:p>
      <w:pPr>
        <w:spacing w:after="80"/>
      </w:pPr>
      <w:r>
        <w:rPr>
          <w:b/>
        </w:rPr>
        <w:t xml:space="preserve">Acceptance: </w:t>
      </w:r>
      <w:r>
        <w:t>A user with permission can create a patient; a second record with a matching identity is flagged or blocked according to configured rules.</w:t>
      </w:r>
    </w:p>
    <w:p>
      <w:pPr>
        <w:spacing w:after="160"/>
      </w:pPr>
      <w:r>
        <w:rPr>
          <w:b/>
        </w:rPr>
        <w:t xml:space="preserve">Basis: </w:t>
      </w:r>
      <w:r>
        <w:rPr>
          <w:i/>
        </w:rPr>
        <w:t>Assignment + proposed production requirement</w:t>
      </w:r>
    </w:p>
    <w:p>
      <w:pPr>
        <w:spacing w:after="40"/>
      </w:pPr>
      <w:r>
        <w:rPr>
          <w:b/>
          <w:sz w:val="22"/>
        </w:rPr>
        <w:t>FR-02 - Patient search and retrieval</w:t>
      </w:r>
    </w:p>
    <w:p>
      <w:pPr>
        <w:spacing w:after="80"/>
      </w:pPr>
      <w:r>
        <w:rPr>
          <w:b/>
        </w:rPr>
        <w:t xml:space="preserve">Priority: Must  |  </w:t>
      </w:r>
      <w:r>
        <w:t>The system shall provide fast search by authorized identifiers and selected demographic attributes, subject to privacy and role restrictions.</w:t>
      </w:r>
    </w:p>
    <w:p>
      <w:pPr>
        <w:spacing w:after="80"/>
      </w:pPr>
      <w:r>
        <w:rPr>
          <w:b/>
        </w:rPr>
        <w:t xml:space="preserve">Acceptance: </w:t>
      </w:r>
      <w:r>
        <w:t>Authorized users can find an existing patient and open the correct record without viewing unauthorized records.</w:t>
      </w:r>
    </w:p>
    <w:p>
      <w:pPr>
        <w:spacing w:after="160"/>
      </w:pPr>
      <w:r>
        <w:rPr>
          <w:b/>
        </w:rPr>
        <w:t xml:space="preserve">Basis: </w:t>
      </w:r>
      <w:r>
        <w:rPr>
          <w:i/>
        </w:rPr>
        <w:t>Proposed production requirement</w:t>
      </w:r>
    </w:p>
    <w:p>
      <w:pPr>
        <w:spacing w:after="40"/>
      </w:pPr>
      <w:r>
        <w:rPr>
          <w:b/>
          <w:sz w:val="22"/>
        </w:rPr>
        <w:t>FR-03 - TB case / episode management</w:t>
      </w:r>
    </w:p>
    <w:p>
      <w:pPr>
        <w:spacing w:after="80"/>
      </w:pPr>
      <w:r>
        <w:rPr>
          <w:b/>
        </w:rPr>
        <w:t xml:space="preserve">Priority: Must  |  </w:t>
      </w:r>
      <w:r>
        <w:t>A patient may have one or more disease episodes/cases over time. Each case shall have its own status and dates, and shall remain linked to the patient. TB-specific fields shall be configurable after clinical review.</w:t>
      </w:r>
    </w:p>
    <w:p>
      <w:pPr>
        <w:spacing w:after="80"/>
      </w:pPr>
      <w:r>
        <w:rPr>
          <w:b/>
        </w:rPr>
        <w:t xml:space="preserve">Acceptance: </w:t>
      </w:r>
      <w:r>
        <w:t>A new case can be created, updated and closed; historical cases remain retrievable.</w:t>
      </w:r>
    </w:p>
    <w:p>
      <w:pPr>
        <w:spacing w:after="160"/>
      </w:pPr>
      <w:r>
        <w:rPr>
          <w:b/>
        </w:rPr>
        <w:t xml:space="preserve">Basis: </w:t>
      </w:r>
      <w:r>
        <w:rPr>
          <w:i/>
        </w:rPr>
        <w:t>TB-specific proposed requirement; clinical validation required</w:t>
      </w:r>
    </w:p>
    <w:p>
      <w:pPr>
        <w:spacing w:after="40"/>
      </w:pPr>
      <w:r>
        <w:rPr>
          <w:b/>
          <w:sz w:val="22"/>
        </w:rPr>
        <w:t>FR-04 - Encounter / follow-up management</w:t>
      </w:r>
    </w:p>
    <w:p>
      <w:pPr>
        <w:spacing w:after="80"/>
      </w:pPr>
      <w:r>
        <w:rPr>
          <w:b/>
        </w:rPr>
        <w:t xml:space="preserve">Priority: Must  |  </w:t>
      </w:r>
      <w:r>
        <w:t>The system shall create dated encounters or follow-up events and associate observations, notes and test results with that event.</w:t>
      </w:r>
    </w:p>
    <w:p>
      <w:pPr>
        <w:spacing w:after="80"/>
      </w:pPr>
      <w:r>
        <w:rPr>
          <w:b/>
        </w:rPr>
        <w:t xml:space="preserve">Acceptance: </w:t>
      </w:r>
      <w:r>
        <w:t>A follow-up can be created and its data is visible in the patient timeline.</w:t>
      </w:r>
    </w:p>
    <w:p>
      <w:pPr>
        <w:spacing w:after="160"/>
      </w:pPr>
      <w:r>
        <w:rPr>
          <w:b/>
        </w:rPr>
        <w:t xml:space="preserve">Basis: </w:t>
      </w:r>
      <w:r>
        <w:rPr>
          <w:i/>
        </w:rPr>
        <w:t>TB-specific proposed requirement</w:t>
      </w:r>
    </w:p>
    <w:p>
      <w:pPr>
        <w:spacing w:after="40"/>
      </w:pPr>
      <w:r>
        <w:rPr>
          <w:b/>
          <w:sz w:val="22"/>
        </w:rPr>
        <w:t>FR-05 - Test record creation</w:t>
      </w:r>
    </w:p>
    <w:p>
      <w:pPr>
        <w:spacing w:after="80"/>
      </w:pPr>
      <w:r>
        <w:rPr>
          <w:b/>
        </w:rPr>
        <w:t xml:space="preserve">Priority: Must  |  </w:t>
      </w:r>
      <w:r>
        <w:t>The system shall record a test/biomarker result with patient/case linkage, analyte/biomarker, value, unit, specimen/collection metadata where applicable, test date/time, source and notes.</w:t>
      </w:r>
    </w:p>
    <w:p>
      <w:pPr>
        <w:spacing w:after="80"/>
      </w:pPr>
      <w:r>
        <w:rPr>
          <w:b/>
        </w:rPr>
        <w:t xml:space="preserve">Acceptance: </w:t>
      </w:r>
      <w:r>
        <w:t>A valid test record can be created and later retrieved with complete provenance.</w:t>
      </w:r>
    </w:p>
    <w:p>
      <w:pPr>
        <w:spacing w:after="160"/>
      </w:pPr>
      <w:r>
        <w:rPr>
          <w:b/>
        </w:rPr>
        <w:t xml:space="preserve">Basis: </w:t>
      </w:r>
      <w:r>
        <w:rPr>
          <w:i/>
        </w:rPr>
        <w:t>Assignment + MRX source</w:t>
      </w:r>
    </w:p>
    <w:p>
      <w:pPr>
        <w:spacing w:after="40"/>
      </w:pPr>
      <w:r>
        <w:rPr>
          <w:b/>
          <w:sz w:val="22"/>
        </w:rPr>
        <w:t>FR-06 - Multiple results per biomarker</w:t>
      </w:r>
    </w:p>
    <w:p>
      <w:pPr>
        <w:spacing w:after="80"/>
      </w:pPr>
      <w:r>
        <w:rPr>
          <w:b/>
        </w:rPr>
        <w:t xml:space="preserve">Priority: Must  |  </w:t>
      </w:r>
      <w:r>
        <w:t>The same biomarker can have multiple time-stamped observations for the same patient/case.</w:t>
      </w:r>
    </w:p>
    <w:p>
      <w:pPr>
        <w:spacing w:after="80"/>
      </w:pPr>
      <w:r>
        <w:rPr>
          <w:b/>
        </w:rPr>
        <w:t xml:space="preserve">Acceptance: </w:t>
      </w:r>
      <w:r>
        <w:t>At least two observations for the same biomarker can coexist and render chronologically.</w:t>
      </w:r>
    </w:p>
    <w:p>
      <w:pPr>
        <w:spacing w:after="160"/>
      </w:pPr>
      <w:r>
        <w:rPr>
          <w:b/>
        </w:rPr>
        <w:t xml:space="preserve">Basis: </w:t>
      </w:r>
      <w:r>
        <w:rPr>
          <w:i/>
        </w:rPr>
        <w:t>Assignment + MRX modular architecture</w:t>
      </w:r>
    </w:p>
    <w:p>
      <w:pPr>
        <w:spacing w:after="40"/>
      </w:pPr>
      <w:r>
        <w:rPr>
          <w:b/>
          <w:sz w:val="22"/>
        </w:rPr>
        <w:t>FR-07 - Biomarker master data</w:t>
      </w:r>
    </w:p>
    <w:p>
      <w:pPr>
        <w:spacing w:after="80"/>
      </w:pPr>
      <w:r>
        <w:rPr>
          <w:b/>
        </w:rPr>
        <w:t xml:space="preserve">Priority: Must  |  </w:t>
      </w:r>
      <w:r>
        <w:t>Biomarkers/tests shall be represented as configurable reference data with name, code, unit rules and optional reference metadata.</w:t>
      </w:r>
    </w:p>
    <w:p>
      <w:pPr>
        <w:spacing w:after="80"/>
      </w:pPr>
      <w:r>
        <w:rPr>
          <w:b/>
        </w:rPr>
        <w:t xml:space="preserve">Acceptance: </w:t>
      </w:r>
      <w:r>
        <w:t>Adding a new biomarker does not require a database schema change or application rewrite.</w:t>
      </w:r>
    </w:p>
    <w:p>
      <w:pPr>
        <w:spacing w:after="160"/>
      </w:pPr>
      <w:r>
        <w:rPr>
          <w:b/>
        </w:rPr>
        <w:t xml:space="preserve">Basis: </w:t>
      </w:r>
      <w:r>
        <w:rPr>
          <w:i/>
        </w:rPr>
        <w:t>MRX modular architecture + proposed implementation</w:t>
      </w:r>
    </w:p>
    <w:p>
      <w:pPr>
        <w:spacing w:after="40"/>
      </w:pPr>
      <w:r>
        <w:rPr>
          <w:b/>
          <w:sz w:val="22"/>
        </w:rPr>
        <w:t>FR-08 - Result validation</w:t>
      </w:r>
    </w:p>
    <w:p>
      <w:pPr>
        <w:spacing w:after="80"/>
      </w:pPr>
      <w:r>
        <w:rPr>
          <w:b/>
        </w:rPr>
        <w:t xml:space="preserve">Priority: Must  |  </w:t>
      </w:r>
      <w:r>
        <w:t>The system shall validate required fields, numeric formats, units, allowed values, dates and provenance according to configured rules. It shall distinguish invalid data from unusual but technically valid data.</w:t>
      </w:r>
    </w:p>
    <w:p>
      <w:pPr>
        <w:spacing w:after="80"/>
      </w:pPr>
      <w:r>
        <w:rPr>
          <w:b/>
        </w:rPr>
        <w:t xml:space="preserve">Acceptance: </w:t>
      </w:r>
      <w:r>
        <w:t>Invalid input is rejected with a clear message; valid but unusual input can be flagged without silent modification.</w:t>
      </w:r>
    </w:p>
    <w:p>
      <w:pPr>
        <w:spacing w:after="160"/>
      </w:pPr>
      <w:r>
        <w:rPr>
          <w:b/>
        </w:rPr>
        <w:t xml:space="preserve">Basis: </w:t>
      </w:r>
      <w:r>
        <w:rPr>
          <w:i/>
        </w:rPr>
        <w:t>Assignment + proposed production requirement</w:t>
      </w:r>
    </w:p>
    <w:p>
      <w:pPr>
        <w:spacing w:after="40"/>
      </w:pPr>
      <w:r>
        <w:rPr>
          <w:b/>
          <w:sz w:val="22"/>
        </w:rPr>
        <w:t>FR-09 - Patient dashboard</w:t>
      </w:r>
    </w:p>
    <w:p>
      <w:pPr>
        <w:spacing w:after="80"/>
      </w:pPr>
      <w:r>
        <w:rPr>
          <w:b/>
        </w:rPr>
        <w:t xml:space="preserve">Priority: Must  |  </w:t>
      </w:r>
      <w:r>
        <w:t>Selecting a patient shall display patient summary, active case information, latest results, previous results, dated history and relevant follow-up information.</w:t>
      </w:r>
    </w:p>
    <w:p>
      <w:pPr>
        <w:spacing w:after="80"/>
      </w:pPr>
      <w:r>
        <w:rPr>
          <w:b/>
        </w:rPr>
        <w:t xml:space="preserve">Acceptance: </w:t>
      </w:r>
      <w:r>
        <w:t>The clinician can review key patient information from one dashboard.</w:t>
      </w:r>
    </w:p>
    <w:p>
      <w:pPr>
        <w:spacing w:after="160"/>
      </w:pPr>
      <w:r>
        <w:rPr>
          <w:b/>
        </w:rPr>
        <w:t xml:space="preserve">Basis: </w:t>
      </w:r>
      <w:r>
        <w:rPr>
          <w:i/>
        </w:rPr>
        <w:t>Assignment + proposed TB extension</w:t>
      </w:r>
    </w:p>
    <w:p>
      <w:pPr>
        <w:spacing w:after="40"/>
      </w:pPr>
      <w:r>
        <w:rPr>
          <w:b/>
          <w:sz w:val="22"/>
        </w:rPr>
        <w:t>FR-10 - Trend visualization</w:t>
      </w:r>
    </w:p>
    <w:p>
      <w:pPr>
        <w:spacing w:after="80"/>
      </w:pPr>
      <w:r>
        <w:rPr>
          <w:b/>
        </w:rPr>
        <w:t xml:space="preserve">Priority: Must  |  </w:t>
      </w:r>
      <w:r>
        <w:t>The system shall display at least one time-series visualization for a selected biomarker/clinical measure. Users shall be able to choose the parameter and time window.</w:t>
      </w:r>
    </w:p>
    <w:p>
      <w:pPr>
        <w:spacing w:after="80"/>
      </w:pPr>
      <w:r>
        <w:rPr>
          <w:b/>
        </w:rPr>
        <w:t xml:space="preserve">Acceptance: </w:t>
      </w:r>
      <w:r>
        <w:t>A selected parameter shows correctly ordered observations; missing values are not fabricated.</w:t>
      </w:r>
    </w:p>
    <w:p>
      <w:pPr>
        <w:spacing w:after="160"/>
      </w:pPr>
      <w:r>
        <w:rPr>
          <w:b/>
        </w:rPr>
        <w:t xml:space="preserve">Basis: </w:t>
      </w:r>
      <w:r>
        <w:rPr>
          <w:i/>
        </w:rPr>
        <w:t>Assignment</w:t>
      </w:r>
    </w:p>
    <w:p>
      <w:pPr>
        <w:spacing w:after="40"/>
      </w:pPr>
      <w:r>
        <w:rPr>
          <w:b/>
          <w:sz w:val="22"/>
        </w:rPr>
        <w:t>FR-11 - Patient timeline</w:t>
      </w:r>
    </w:p>
    <w:p>
      <w:pPr>
        <w:spacing w:after="80"/>
      </w:pPr>
      <w:r>
        <w:rPr>
          <w:b/>
        </w:rPr>
        <w:t xml:space="preserve">Priority: Should  |  </w:t>
      </w:r>
      <w:r>
        <w:t>The dashboard should provide a chronological timeline covering diagnosis/case events, encounters, tests, treatment updates and reports.</w:t>
      </w:r>
    </w:p>
    <w:p>
      <w:pPr>
        <w:spacing w:after="80"/>
      </w:pPr>
      <w:r>
        <w:rPr>
          <w:b/>
        </w:rPr>
        <w:t xml:space="preserve">Acceptance: </w:t>
      </w:r>
      <w:r>
        <w:t>Events appear chronologically and link to their source records.</w:t>
      </w:r>
    </w:p>
    <w:p>
      <w:pPr>
        <w:spacing w:after="160"/>
      </w:pPr>
      <w:r>
        <w:rPr>
          <w:b/>
        </w:rPr>
        <w:t xml:space="preserve">Basis: </w:t>
      </w:r>
      <w:r>
        <w:rPr>
          <w:i/>
        </w:rPr>
        <w:t>Proposed production requirement</w:t>
      </w:r>
    </w:p>
    <w:p>
      <w:pPr>
        <w:spacing w:after="40"/>
      </w:pPr>
      <w:r>
        <w:rPr>
          <w:b/>
          <w:sz w:val="22"/>
        </w:rPr>
        <w:t>FR-12 - Treatment monitoring record</w:t>
      </w:r>
    </w:p>
    <w:p>
      <w:pPr>
        <w:spacing w:after="80"/>
      </w:pPr>
      <w:r>
        <w:rPr>
          <w:b/>
        </w:rPr>
        <w:t xml:space="preserve">Priority: Must  |  </w:t>
      </w:r>
      <w:r>
        <w:t>The system shall store treatment-plan and treatment-monitoring data in a versioned, time-stamped structure. Exact clinical regimen fields shall be configured from the approved TB protocol.</w:t>
      </w:r>
    </w:p>
    <w:p>
      <w:pPr>
        <w:spacing w:after="80"/>
      </w:pPr>
      <w:r>
        <w:rPr>
          <w:b/>
        </w:rPr>
        <w:t xml:space="preserve">Acceptance: </w:t>
      </w:r>
      <w:r>
        <w:t>Authorized users can record a treatment update and view the history of changes.</w:t>
      </w:r>
    </w:p>
    <w:p>
      <w:pPr>
        <w:spacing w:after="160"/>
      </w:pPr>
      <w:r>
        <w:rPr>
          <w:b/>
        </w:rPr>
        <w:t xml:space="preserve">Basis: </w:t>
      </w:r>
      <w:r>
        <w:rPr>
          <w:i/>
        </w:rPr>
        <w:t>TB-specific proposed requirement; clinical validation required</w:t>
      </w:r>
    </w:p>
    <w:p>
      <w:pPr>
        <w:spacing w:after="40"/>
      </w:pPr>
      <w:r>
        <w:rPr>
          <w:b/>
          <w:sz w:val="22"/>
        </w:rPr>
        <w:t>FR-13 - Adherence / care-support record</w:t>
      </w:r>
    </w:p>
    <w:p>
      <w:pPr>
        <w:spacing w:after="80"/>
      </w:pPr>
      <w:r>
        <w:rPr>
          <w:b/>
        </w:rPr>
        <w:t xml:space="preserve">Priority: Should  |  </w:t>
      </w:r>
      <w:r>
        <w:t>The system should capture structured adherence/care-support observations where approved by the clinical workflow.</w:t>
      </w:r>
    </w:p>
    <w:p>
      <w:pPr>
        <w:spacing w:after="80"/>
      </w:pPr>
      <w:r>
        <w:rPr>
          <w:b/>
        </w:rPr>
        <w:t xml:space="preserve">Acceptance: </w:t>
      </w:r>
      <w:r>
        <w:t>An authorized user can record an adherence observation with date, source and note.</w:t>
      </w:r>
    </w:p>
    <w:p>
      <w:pPr>
        <w:spacing w:after="160"/>
      </w:pPr>
      <w:r>
        <w:rPr>
          <w:b/>
        </w:rPr>
        <w:t xml:space="preserve">Basis: </w:t>
      </w:r>
      <w:r>
        <w:rPr>
          <w:i/>
        </w:rPr>
        <w:t>TB-specific proposed requirement; clinical validation required</w:t>
      </w:r>
    </w:p>
    <w:p>
      <w:pPr>
        <w:spacing w:after="40"/>
      </w:pPr>
      <w:r>
        <w:rPr>
          <w:b/>
          <w:sz w:val="22"/>
        </w:rPr>
        <w:t>FR-14 - Symptoms and observations</w:t>
      </w:r>
    </w:p>
    <w:p>
      <w:pPr>
        <w:spacing w:after="80"/>
      </w:pPr>
      <w:r>
        <w:rPr>
          <w:b/>
        </w:rPr>
        <w:t xml:space="preserve">Priority: Should  |  </w:t>
      </w:r>
      <w:r>
        <w:t>The system should capture structured symptoms/clinical observations using a configurable form rather than hard-coding a fixed medical scoring system.</w:t>
      </w:r>
    </w:p>
    <w:p>
      <w:pPr>
        <w:spacing w:after="80"/>
      </w:pPr>
      <w:r>
        <w:rPr>
          <w:b/>
        </w:rPr>
        <w:t xml:space="preserve">Acceptance: </w:t>
      </w:r>
      <w:r>
        <w:t>A configured observation can be recorded and displayed historically.</w:t>
      </w:r>
    </w:p>
    <w:p>
      <w:pPr>
        <w:spacing w:after="160"/>
      </w:pPr>
      <w:r>
        <w:rPr>
          <w:b/>
        </w:rPr>
        <w:t xml:space="preserve">Basis: </w:t>
      </w:r>
      <w:r>
        <w:rPr>
          <w:i/>
        </w:rPr>
        <w:t>TB-specific proposed requirement; clinical validation required</w:t>
      </w:r>
    </w:p>
    <w:p>
      <w:pPr>
        <w:spacing w:after="40"/>
      </w:pPr>
      <w:r>
        <w:rPr>
          <w:b/>
          <w:sz w:val="22"/>
        </w:rPr>
        <w:t>FR-15 - Report generation</w:t>
      </w:r>
    </w:p>
    <w:p>
      <w:pPr>
        <w:spacing w:after="80"/>
      </w:pPr>
      <w:r>
        <w:rPr>
          <w:b/>
        </w:rPr>
        <w:t xml:space="preserve">Priority: Must  |  </w:t>
      </w:r>
      <w:r>
        <w:t>The system shall generate a patient report containing authorized patient details, case information, test/biomarker history, selected trend charts and report metadata.</w:t>
      </w:r>
    </w:p>
    <w:p>
      <w:pPr>
        <w:spacing w:after="80"/>
      </w:pPr>
      <w:r>
        <w:rPr>
          <w:b/>
        </w:rPr>
        <w:t xml:space="preserve">Acceptance: </w:t>
      </w:r>
      <w:r>
        <w:t>A report is generated with a report ID/version and correct patient data.</w:t>
      </w:r>
    </w:p>
    <w:p>
      <w:pPr>
        <w:spacing w:after="160"/>
      </w:pPr>
      <w:r>
        <w:rPr>
          <w:b/>
        </w:rPr>
        <w:t xml:space="preserve">Basis: </w:t>
      </w:r>
      <w:r>
        <w:rPr>
          <w:i/>
        </w:rPr>
        <w:t>Assignment + proposed production requirement</w:t>
      </w:r>
    </w:p>
    <w:p>
      <w:pPr>
        <w:spacing w:after="40"/>
      </w:pPr>
      <w:r>
        <w:rPr>
          <w:b/>
          <w:sz w:val="22"/>
        </w:rPr>
        <w:t>FR-16 - Audit trail</w:t>
      </w:r>
    </w:p>
    <w:p>
      <w:pPr>
        <w:spacing w:after="80"/>
      </w:pPr>
      <w:r>
        <w:rPr>
          <w:b/>
        </w:rPr>
        <w:t xml:space="preserve">Priority: Must  |  </w:t>
      </w:r>
      <w:r>
        <w:t>Create, update, delete/void, import, export, login, permission and report actions affecting clinical data shall be logged with user/service identity, timestamp and event details.</w:t>
      </w:r>
    </w:p>
    <w:p>
      <w:pPr>
        <w:spacing w:after="80"/>
      </w:pPr>
      <w:r>
        <w:rPr>
          <w:b/>
        </w:rPr>
        <w:t xml:space="preserve">Acceptance: </w:t>
      </w:r>
      <w:r>
        <w:t>An auditor can reconstruct who performed a sensitive action and when.</w:t>
      </w:r>
    </w:p>
    <w:p>
      <w:pPr>
        <w:spacing w:after="160"/>
      </w:pPr>
      <w:r>
        <w:rPr>
          <w:b/>
        </w:rPr>
        <w:t xml:space="preserve">Basis: </w:t>
      </w:r>
      <w:r>
        <w:rPr>
          <w:i/>
        </w:rPr>
        <w:t>Proposed production requirement</w:t>
      </w:r>
    </w:p>
    <w:p>
      <w:pPr>
        <w:spacing w:after="40"/>
      </w:pPr>
      <w:r>
        <w:rPr>
          <w:b/>
          <w:sz w:val="22"/>
        </w:rPr>
        <w:t>FR-17 - Role-based access control</w:t>
      </w:r>
    </w:p>
    <w:p>
      <w:pPr>
        <w:spacing w:after="80"/>
      </w:pPr>
      <w:r>
        <w:rPr>
          <w:b/>
        </w:rPr>
        <w:t xml:space="preserve">Priority: Must  |  </w:t>
      </w:r>
      <w:r>
        <w:t>The system shall enforce permissions at UI and API/service layers.</w:t>
      </w:r>
    </w:p>
    <w:p>
      <w:pPr>
        <w:spacing w:after="80"/>
      </w:pPr>
      <w:r>
        <w:rPr>
          <w:b/>
        </w:rPr>
        <w:t xml:space="preserve">Acceptance: </w:t>
      </w:r>
      <w:r>
        <w:t>A user cannot bypass a permission restriction by directly calling an API.</w:t>
      </w:r>
    </w:p>
    <w:p>
      <w:pPr>
        <w:spacing w:after="160"/>
      </w:pPr>
      <w:r>
        <w:rPr>
          <w:b/>
        </w:rPr>
        <w:t xml:space="preserve">Basis: </w:t>
      </w:r>
      <w:r>
        <w:rPr>
          <w:i/>
        </w:rPr>
        <w:t>Proposed production requirement</w:t>
      </w:r>
    </w:p>
    <w:p>
      <w:pPr>
        <w:spacing w:after="40"/>
      </w:pPr>
      <w:r>
        <w:rPr>
          <w:b/>
          <w:sz w:val="22"/>
        </w:rPr>
        <w:t>FR-18 - Device/result ingestion</w:t>
      </w:r>
    </w:p>
    <w:p>
      <w:pPr>
        <w:spacing w:after="80"/>
      </w:pPr>
      <w:r>
        <w:rPr>
          <w:b/>
        </w:rPr>
        <w:t xml:space="preserve">Priority: Should  |  </w:t>
      </w:r>
      <w:r>
        <w:t>The system should support controlled ingestion of MRX device measurements through an authenticated API or adapter layer. Imported measurements shall retain device/source metadata.</w:t>
      </w:r>
    </w:p>
    <w:p>
      <w:pPr>
        <w:spacing w:after="80"/>
      </w:pPr>
      <w:r>
        <w:rPr>
          <w:b/>
        </w:rPr>
        <w:t xml:space="preserve">Acceptance: </w:t>
      </w:r>
      <w:r>
        <w:t>A test measurement can be imported and traced back to its source device/message.</w:t>
      </w:r>
    </w:p>
    <w:p>
      <w:pPr>
        <w:spacing w:after="160"/>
      </w:pPr>
      <w:r>
        <w:rPr>
          <w:b/>
        </w:rPr>
        <w:t xml:space="preserve">Basis: </w:t>
      </w:r>
      <w:r>
        <w:rPr>
          <w:i/>
        </w:rPr>
        <w:t>MRX wireless/device context + proposed integration boundary</w:t>
      </w:r>
    </w:p>
    <w:p>
      <w:pPr>
        <w:spacing w:after="40"/>
      </w:pPr>
      <w:r>
        <w:rPr>
          <w:b/>
          <w:sz w:val="22"/>
        </w:rPr>
        <w:t>FR-19 - Manual vs integrated provenance</w:t>
      </w:r>
    </w:p>
    <w:p>
      <w:pPr>
        <w:spacing w:after="80"/>
      </w:pPr>
      <w:r>
        <w:rPr>
          <w:b/>
        </w:rPr>
        <w:t xml:space="preserve">Priority: Must  |  </w:t>
      </w:r>
      <w:r>
        <w:t>Every test result shall indicate whether it was manually entered, imported, amended, or otherwise sourced.</w:t>
      </w:r>
    </w:p>
    <w:p>
      <w:pPr>
        <w:spacing w:after="80"/>
      </w:pPr>
      <w:r>
        <w:rPr>
          <w:b/>
        </w:rPr>
        <w:t xml:space="preserve">Acceptance: </w:t>
      </w:r>
      <w:r>
        <w:t>The origin of a result is visible to authorized users and preserved in audit history.</w:t>
      </w:r>
    </w:p>
    <w:p>
      <w:pPr>
        <w:spacing w:after="160"/>
      </w:pPr>
      <w:r>
        <w:rPr>
          <w:b/>
        </w:rPr>
        <w:t xml:space="preserve">Basis: </w:t>
      </w:r>
      <w:r>
        <w:rPr>
          <w:i/>
        </w:rPr>
        <w:t>Proposed production requirement</w:t>
      </w:r>
    </w:p>
    <w:p>
      <w:pPr>
        <w:spacing w:after="40"/>
      </w:pPr>
      <w:r>
        <w:rPr>
          <w:b/>
          <w:sz w:val="22"/>
        </w:rPr>
        <w:t>FR-20 - Data correction workflow</w:t>
      </w:r>
    </w:p>
    <w:p>
      <w:pPr>
        <w:spacing w:after="80"/>
      </w:pPr>
      <w:r>
        <w:rPr>
          <w:b/>
        </w:rPr>
        <w:t xml:space="preserve">Priority: Must  |  </w:t>
      </w:r>
      <w:r>
        <w:t>Clinical records shall not be silently overwritten. Corrections to finalized data shall preserve an audit history and, where appropriate, create a corrected version.</w:t>
      </w:r>
    </w:p>
    <w:p>
      <w:pPr>
        <w:spacing w:after="80"/>
      </w:pPr>
      <w:r>
        <w:rPr>
          <w:b/>
        </w:rPr>
        <w:t xml:space="preserve">Acceptance: </w:t>
      </w:r>
      <w:r>
        <w:t>A correction retains the original audit trail and records the new value, actor and reason where required.</w:t>
      </w:r>
    </w:p>
    <w:p>
      <w:pPr>
        <w:spacing w:after="160"/>
      </w:pPr>
      <w:r>
        <w:rPr>
          <w:b/>
        </w:rPr>
        <w:t xml:space="preserve">Basis: </w:t>
      </w:r>
      <w:r>
        <w:rPr>
          <w:i/>
        </w:rPr>
        <w:t>Proposed production requirement</w:t>
      </w:r>
    </w:p>
    <w:p>
      <w:pPr>
        <w:spacing w:after="40"/>
      </w:pPr>
      <w:r>
        <w:rPr>
          <w:b/>
          <w:sz w:val="22"/>
        </w:rPr>
        <w:t>FR-21 - Report export control</w:t>
      </w:r>
    </w:p>
    <w:p>
      <w:pPr>
        <w:spacing w:after="80"/>
      </w:pPr>
      <w:r>
        <w:rPr>
          <w:b/>
        </w:rPr>
        <w:t xml:space="preserve">Priority: Should  |  </w:t>
      </w:r>
      <w:r>
        <w:t>Exports shall be permission-controlled, logged and capable of redaction or field selection where the use case requires it.</w:t>
      </w:r>
    </w:p>
    <w:p>
      <w:pPr>
        <w:spacing w:after="80"/>
      </w:pPr>
      <w:r>
        <w:rPr>
          <w:b/>
        </w:rPr>
        <w:t xml:space="preserve">Acceptance: </w:t>
      </w:r>
      <w:r>
        <w:t>Unauthorized users cannot export restricted patient data.</w:t>
      </w:r>
    </w:p>
    <w:p>
      <w:pPr>
        <w:spacing w:after="160"/>
      </w:pPr>
      <w:r>
        <w:rPr>
          <w:b/>
        </w:rPr>
        <w:t xml:space="preserve">Basis: </w:t>
      </w:r>
      <w:r>
        <w:rPr>
          <w:i/>
        </w:rPr>
        <w:t>Proposed production requirement</w:t>
      </w:r>
    </w:p>
    <w:p>
      <w:pPr>
        <w:spacing w:after="40"/>
      </w:pPr>
      <w:r>
        <w:rPr>
          <w:b/>
          <w:sz w:val="22"/>
        </w:rPr>
        <w:t>FR-22 - Configuration management</w:t>
      </w:r>
    </w:p>
    <w:p>
      <w:pPr>
        <w:spacing w:after="80"/>
      </w:pPr>
      <w:r>
        <w:rPr>
          <w:b/>
        </w:rPr>
        <w:t xml:space="preserve">Priority: Should  |  </w:t>
      </w:r>
      <w:r>
        <w:t>Reference values such as biomarker definitions, units, roles, form fields and alert policies shall be configurable without changing application code where safely possible.</w:t>
      </w:r>
    </w:p>
    <w:p>
      <w:pPr>
        <w:spacing w:after="80"/>
      </w:pPr>
      <w:r>
        <w:rPr>
          <w:b/>
        </w:rPr>
        <w:t xml:space="preserve">Acceptance: </w:t>
      </w:r>
      <w:r>
        <w:t>Approved configuration changes are versioned and auditable.</w:t>
      </w:r>
    </w:p>
    <w:p>
      <w:pPr>
        <w:spacing w:after="160"/>
      </w:pPr>
      <w:r>
        <w:rPr>
          <w:b/>
        </w:rPr>
        <w:t xml:space="preserve">Basis: </w:t>
      </w:r>
      <w:r>
        <w:rPr>
          <w:i/>
        </w:rPr>
        <w:t>Proposed production requirement</w:t>
      </w:r>
    </w:p>
    <w:p>
      <w:pPr>
        <w:pStyle w:val="Heading1"/>
        <w:keepNext/>
      </w:pPr>
      <w:r>
        <w:t>10. Proposed TB-Specific Data Requirements</w:t>
      </w:r>
    </w:p>
    <w:p>
      <w:pPr>
        <w:spacing w:after="120"/>
      </w:pPr>
      <w:r>
        <w:t>The following fields are a product-design proposal for a TB-focused system. They are not claimed to be the finalized clinical data model from the supplied MRX materials. A clinical lead must approve the final field list, terminology, allowable values and workflows before implementation.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Entity</w:t>
            </w:r>
          </w:p>
        </w:tc>
        <w:tc>
          <w:tcPr>
            <w:tcW w:type="dxa" w:w="3360"/>
            <w:vAlign w:val="center"/>
            <w:shd w:fill="1F4E78"/>
          </w:tcPr>
          <w:p>
            <w:pPr>
              <w:spacing w:after="40"/>
            </w:pPr>
            <w:r/>
            <w:r>
              <w:rPr>
                <w:b/>
                <w:color w:val="FFFFFF"/>
                <w:sz w:val="17"/>
              </w:rPr>
              <w:t>Proposed information</w:t>
            </w:r>
          </w:p>
        </w:tc>
        <w:tc>
          <w:tcPr>
            <w:tcW w:type="dxa" w:w="3360"/>
            <w:vAlign w:val="center"/>
            <w:shd w:fill="1F4E78"/>
          </w:tcPr>
          <w:p>
            <w:pPr>
              <w:spacing w:after="40"/>
            </w:pPr>
            <w:r/>
            <w:r>
              <w:rPr>
                <w:b/>
                <w:color w:val="FFFFFF"/>
                <w:sz w:val="17"/>
              </w:rPr>
              <w:t>Validation / governance note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Internal patient ID, approved demographic fields, contact information, emergency/contact fields if required.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Minimize personal data; collect only what is justified for the intended care workflow.</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TB Case / Episode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Case ID, diagnosis-related dates, case status, disease/category fields as approved, facility/provider, relevant classification 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Terminology and allowable values must follow the approved clinical/TB program model.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Diagnostic / Lab Result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Test name, result, unit, date/time, specimen metadata, laboratory/source, verification status.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Units and result semantics must be controlled; retain provenance.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Biomarker Observation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Biomarker code, value, unit, reference metadata if approved, date/time, device/lab source.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Generic structure; supports CRP and future MRX biomarkers.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Treatment Record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Treatment plan version, start/stop/change dates, status, adherence/care-support observations, clinician notes.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Regimen-specific fields require clinical validation.</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Encounter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Encounter date/time, facility, clinician, reason/type, observations, notes, next review date.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Do not create clinical scoring rules without approval.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Symptom / Clinical Observation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Observation type, value/response, date/time, source, note.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Prefer structured observations over unbounded free text.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Alert / Task</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Alert type, severity, triggered time, rule version, acknowledgment, resolution, actor.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Alert logic must be clinically reviewed and versioned.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Report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Report ID, version, generated time, author/service, included sections, export format, checksum if required.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Reports should be reproducible from the underlying record version.</w:t>
            </w:r>
          </w:p>
        </w:tc>
      </w:tr>
    </w:tbl>
    <w:p>
      <w:pPr>
        <w:spacing w:after="40"/>
      </w:pPr>
    </w:p>
    <w:p>
      <w:pPr>
        <w:pStyle w:val="Heading1"/>
        <w:keepNext/>
      </w:pPr>
      <w:r>
        <w:t>11. Suggested Core Data Model</w:t>
      </w:r>
    </w:p>
    <w:p>
      <w:pPr>
        <w:spacing w:after="120"/>
      </w:pPr>
      <w:r>
        <w:t>The following logical model is intentionally generic so that CRP today and future biomarkers can coexist without schema redesign.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Entity</w:t>
            </w:r>
          </w:p>
        </w:tc>
        <w:tc>
          <w:tcPr>
            <w:tcW w:type="dxa" w:w="5040"/>
            <w:vAlign w:val="center"/>
            <w:shd w:fill="1F4E78"/>
          </w:tcPr>
          <w:p>
            <w:pPr>
              <w:spacing w:after="40"/>
            </w:pPr>
            <w:r/>
            <w:r>
              <w:rPr>
                <w:b/>
                <w:color w:val="FFFFFF"/>
                <w:sz w:val="17"/>
              </w:rPr>
              <w:t>Key relationships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Patient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1-to-many TB cases; 1-to-many encounters; 1-to-many observations/tests; 1-to-many reports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TB Case</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Belongs to one patient; has many encounters, treatment records, tests and alerts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Biomarker/Test Definition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Referenced by many test/observation records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Test / Observation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Belongs to patient and optionally a case/encounter; references biomarker/test definition</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Treatment Record</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Belongs to a case; versioned over time</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Encounter</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Belongs to patient/case and aggregates observations, notes and actions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Report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References patient/case and the data snapshot/version used for the report</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Audit Event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References the affected resource and actor/service</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Pr>
          <w:p>
            <w:pPr>
              <w:spacing w:after="0"/>
            </w:pPr>
            <w:r/>
            <w:r>
              <w:rPr>
                <w:b/>
                <w:color w:val="1F4E79"/>
              </w:rPr>
              <w:t xml:space="preserve">Database principle: </w:t>
            </w:r>
            <w:r>
              <w:rPr>
                <w:sz w:val="18"/>
              </w:rPr>
              <w:t>Do not store CRP as a permanent column inside the patient table. Use a generic biomarker/test observation structure so the same platform can support additional MRX biomarkers later.</w:t>
            </w:r>
          </w:p>
        </w:tc>
      </w:tr>
    </w:tbl>
    <w:p>
      <w:pPr>
        <w:spacing w:after="40"/>
      </w:pPr>
    </w:p>
    <w:p>
      <w:pPr>
        <w:pStyle w:val="Heading1"/>
        <w:keepNext/>
      </w:pPr>
      <w:r>
        <w:t>12. UI / UX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Screen</w:t>
            </w:r>
          </w:p>
        </w:tc>
        <w:tc>
          <w:tcPr>
            <w:tcW w:type="dxa" w:w="3360"/>
            <w:vAlign w:val="center"/>
            <w:shd w:fill="1F4E78"/>
          </w:tcPr>
          <w:p>
            <w:pPr>
              <w:spacing w:after="40"/>
            </w:pPr>
            <w:r/>
            <w:r>
              <w:rPr>
                <w:b/>
                <w:color w:val="FFFFFF"/>
                <w:sz w:val="17"/>
              </w:rPr>
              <w:t>Minimum capability</w:t>
            </w:r>
          </w:p>
        </w:tc>
        <w:tc>
          <w:tcPr>
            <w:tcW w:type="dxa" w:w="3360"/>
            <w:vAlign w:val="center"/>
            <w:shd w:fill="1F4E78"/>
          </w:tcPr>
          <w:p>
            <w:pPr>
              <w:spacing w:after="40"/>
            </w:pPr>
            <w:r/>
            <w:r>
              <w:rPr>
                <w:b/>
                <w:color w:val="FFFFFF"/>
                <w:sz w:val="17"/>
              </w:rPr>
              <w:t>Production considerations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Login / access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Authentication, session control, role-aware landing page.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MFA/strong auth policy where required; session timeout; audit login events.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 list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Search, filter, sort, status, assigned facility/user.</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Do not expose unnecessary identifiers in lists.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 profile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Demographics, case list, latest monitoring, alerts/tasks.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Clear separation between editable and verified/finalized data.</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TB case view</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Case summary, dates, status, treatment/follow-up summary.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terminology must be validated.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New follow-up</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Date/time, observations, treatment/care-support updates, tests ordered/received.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Autosave/draft only if safe; validate required fields.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Test entry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Biomarker/test, value, unit, date/time, source, notes.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Show unit and source clearly; preserve provenance.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Trends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Line chart, selected parameter, time window, data points/table.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Do not imply causation or clinical improvement solely from a trend.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Timeline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Chronological events with drill-down.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Chronology must be deterministic and time-zone aware.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Reports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Preview, generate, export, version/reprint.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Export actions must be permissioned and logged.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Administration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Users, roles, reference data, configuration, audit review.</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Separate clinical and system administration responsibilities where possible.</w:t>
            </w:r>
          </w:p>
        </w:tc>
      </w:tr>
    </w:tbl>
    <w:p>
      <w:pPr>
        <w:spacing w:after="40"/>
      </w:pPr>
    </w:p>
    <w:p>
      <w:pPr>
        <w:pStyle w:val="Heading1"/>
        <w:keepNext/>
      </w:pPr>
      <w:r>
        <w:t>13. Dashboard Information Hierarchy</w:t>
      </w:r>
    </w:p>
    <w:p>
      <w:pPr>
        <w:pStyle w:val="ListNumber"/>
        <w:spacing w:after="40"/>
      </w:pPr>
      <w:r>
        <w:t>Patient identity and data-quality indicators.</w:t>
      </w:r>
    </w:p>
    <w:p>
      <w:pPr>
        <w:pStyle w:val="ListNumber"/>
        <w:spacing w:after="40"/>
      </w:pPr>
      <w:r>
        <w:t>Current TB case/episode status and last known follow-up.</w:t>
      </w:r>
    </w:p>
    <w:p>
      <w:pPr>
        <w:pStyle w:val="ListNumber"/>
        <w:spacing w:after="40"/>
      </w:pPr>
      <w:r>
        <w:t>Latest test/biomarker results with date/time and source.</w:t>
      </w:r>
    </w:p>
    <w:p>
      <w:pPr>
        <w:pStyle w:val="ListNumber"/>
        <w:spacing w:after="40"/>
      </w:pPr>
      <w:r>
        <w:t>Trend charts and selected historical observations.</w:t>
      </w:r>
    </w:p>
    <w:p>
      <w:pPr>
        <w:pStyle w:val="ListNumber"/>
        <w:spacing w:after="40"/>
      </w:pPr>
      <w:r>
        <w:t>Upcoming or outstanding tasks, where configured.</w:t>
      </w:r>
    </w:p>
    <w:p>
      <w:pPr>
        <w:pStyle w:val="ListNumber"/>
        <w:spacing w:after="40"/>
      </w:pPr>
      <w:r>
        <w:t>Treatment/adherence summary as approved by the clinical workflow.</w:t>
      </w:r>
    </w:p>
    <w:p>
      <w:pPr>
        <w:pStyle w:val="ListNumber"/>
        <w:spacing w:after="40"/>
      </w:pPr>
      <w:r>
        <w:t>Timeline and full historical record.</w:t>
      </w:r>
    </w:p>
    <w:tbl>
      <w:tblPr>
        <w:tblW w:type="auto" w:w="0"/>
        <w:jc w:val="center"/>
        <w:tblLook w:firstColumn="1" w:firstRow="1" w:lastColumn="0" w:lastRow="0" w:noHBand="0" w:noVBand="1" w:val="04A0"/>
      </w:tblPr>
      <w:tblGrid>
        <w:gridCol w:w="10080"/>
      </w:tblGrid>
      <w:tr>
        <w:tc>
          <w:tcPr>
            <w:tcW w:type="dxa" w:w="10080"/>
            <w:shd w:fill="FFF2CC"/>
          </w:tcPr>
          <w:p>
            <w:pPr>
              <w:spacing w:after="0"/>
            </w:pPr>
            <w:r/>
            <w:r>
              <w:rPr>
                <w:b/>
                <w:color w:val="1F4E79"/>
              </w:rPr>
              <w:t xml:space="preserve">Clinical UX guardrail: </w:t>
            </w:r>
            <w:r>
              <w:rPr>
                <w:sz w:val="18"/>
              </w:rPr>
              <w:t>The dashboard should distinguish raw measurements, validated results, clinician-entered interpretations and system-generated analytics. These categories must not be visually conflated.</w:t>
            </w:r>
          </w:p>
        </w:tc>
      </w:tr>
    </w:tbl>
    <w:p>
      <w:pPr>
        <w:spacing w:after="40"/>
      </w:pPr>
    </w:p>
    <w:p>
      <w:pPr>
        <w:pStyle w:val="Heading1"/>
        <w:keepNext/>
      </w:pPr>
      <w:r>
        <w:t>14. API and Integration Requirements</w:t>
      </w:r>
    </w:p>
    <w:p>
      <w:pPr>
        <w:spacing w:after="120"/>
      </w:pPr>
      <w:r>
        <w:t>The backend should expose documented REST APIs (or another documented service interface selected by the engineering team) with authentication, authorization, validation, versioning and audit controls. API names below are logical examples, not mandatory endpoint names.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Logical API area</w:t>
            </w:r>
          </w:p>
        </w:tc>
        <w:tc>
          <w:tcPr>
            <w:tcW w:type="dxa" w:w="3360"/>
            <w:vAlign w:val="center"/>
            <w:shd w:fill="1F4E78"/>
          </w:tcPr>
          <w:p>
            <w:pPr>
              <w:spacing w:after="40"/>
            </w:pPr>
            <w:r/>
            <w:r>
              <w:rPr>
                <w:b/>
                <w:color w:val="FFFFFF"/>
                <w:sz w:val="17"/>
              </w:rPr>
              <w:t>Example operations</w:t>
            </w:r>
          </w:p>
        </w:tc>
        <w:tc>
          <w:tcPr>
            <w:tcW w:type="dxa" w:w="3360"/>
            <w:vAlign w:val="center"/>
            <w:shd w:fill="1F4E78"/>
          </w:tcPr>
          <w:p>
            <w:pPr>
              <w:spacing w:after="40"/>
            </w:pPr>
            <w:r/>
            <w:r>
              <w:rPr>
                <w:b/>
                <w:color w:val="FFFFFF"/>
                <w:sz w:val="17"/>
              </w:rPr>
              <w:t>Requirements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search, get, update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Validation, pagination, authorization, audit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TB cases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get, update, status transition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Versioning and business-rule validation</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Encounters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list, get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Time-stamped and linked to patient/case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Tests / observations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list, get, correct/void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Unit validation, provenance and audit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Biomarkers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List, get, create/configure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Admin-only configuration; stable codes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Treatment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Create, update, history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configuration and audit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Reports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Generate, get metadata, export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Authorization, reproducibility, audit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Audit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Query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Admin/auditor-only; immutable or append-only design preferred</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Device ingestion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Ingest, acknowledge, validate status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Authentication, idempotency, source/device metadata</w:t>
            </w:r>
          </w:p>
        </w:tc>
      </w:tr>
    </w:tbl>
    <w:p>
      <w:pPr>
        <w:spacing w:after="40"/>
      </w:pPr>
    </w:p>
    <w:p>
      <w:pPr>
        <w:pStyle w:val="Heading1"/>
        <w:keepNext/>
      </w:pPr>
      <w:r>
        <w:t>15. MRX Device and Biomarker Integration Requirements</w:t>
      </w:r>
    </w:p>
    <w:p>
      <w:pPr>
        <w:spacing w:after="120"/>
      </w:pPr>
      <w:r>
        <w:t>The MRX concept note states that the current product has CRP detection, Wi-Fi operation, a mobile web dashboard and local data storage, and that future versions are intended to add multiple inflammatory biomarkers and a multiplex cartridge. The software therefore needs an integration boundary that can accept measurements without embedding hardware-specific logic directly into the patient UI.</w:t>
      </w:r>
    </w:p>
    <w:p>
      <w:pPr>
        <w:pStyle w:val="ListBullet"/>
        <w:spacing w:after="40"/>
      </w:pPr>
      <w:r>
        <w:rPr>
          <w:b/>
        </w:rPr>
        <w:t xml:space="preserve">Device identity: </w:t>
      </w:r>
      <w:r>
        <w:t>Each connected device shall have a unique system identity and status.</w:t>
      </w:r>
    </w:p>
    <w:p>
      <w:pPr>
        <w:pStyle w:val="ListBullet"/>
        <w:spacing w:after="40"/>
      </w:pPr>
      <w:r>
        <w:rPr>
          <w:b/>
        </w:rPr>
        <w:t xml:space="preserve">Measurement message: </w:t>
      </w:r>
      <w:r>
        <w:t>Each imported result shall carry patient/case linkage or a controlled reconciliation step, biomarker/test identity, value, unit, timestamp and source metadata.</w:t>
      </w:r>
    </w:p>
    <w:p>
      <w:pPr>
        <w:pStyle w:val="ListBullet"/>
        <w:spacing w:after="40"/>
      </w:pPr>
      <w:r>
        <w:rPr>
          <w:b/>
        </w:rPr>
        <w:t xml:space="preserve">Integrity: </w:t>
      </w:r>
      <w:r>
        <w:t>The platform shall detect duplicate/replayed messages and prevent accidental duplicate clinical records.</w:t>
      </w:r>
    </w:p>
    <w:p>
      <w:pPr>
        <w:pStyle w:val="ListBullet"/>
        <w:spacing w:after="40"/>
      </w:pPr>
      <w:r>
        <w:rPr>
          <w:b/>
        </w:rPr>
        <w:t xml:space="preserve">Connectivity failures: </w:t>
      </w:r>
      <w:r>
        <w:t>Device-originated results shall be queued/retried or surfaced for reconciliation without silently losing data.</w:t>
      </w:r>
    </w:p>
    <w:p>
      <w:pPr>
        <w:pStyle w:val="ListBullet"/>
        <w:spacing w:after="40"/>
      </w:pPr>
      <w:r>
        <w:rPr>
          <w:b/>
        </w:rPr>
        <w:t xml:space="preserve">Firmware/device metadata: </w:t>
      </w:r>
      <w:r>
        <w:t>When available, device and software version information should be preserved with the measurement.</w:t>
      </w:r>
    </w:p>
    <w:p>
      <w:pPr>
        <w:pStyle w:val="ListBullet"/>
        <w:spacing w:after="40"/>
      </w:pPr>
      <w:r>
        <w:rPr>
          <w:b/>
        </w:rPr>
        <w:t xml:space="preserve">Extensibility: </w:t>
      </w:r>
      <w:r>
        <w:t>The integration contract shall allow new biomarker types without changing the core patient record model.</w:t>
      </w:r>
    </w:p>
    <w:p>
      <w:pPr>
        <w:pStyle w:val="Heading1"/>
        <w:keepNext/>
      </w:pPr>
      <w:r>
        <w:t>16. Security, Privacy and Audit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8"/>
          </w:tcPr>
          <w:p>
            <w:pPr>
              <w:spacing w:after="40"/>
            </w:pPr>
            <w:r/>
            <w:r>
              <w:rPr>
                <w:b/>
                <w:color w:val="FFFFFF"/>
                <w:sz w:val="16"/>
              </w:rPr>
              <w:t>ID</w:t>
            </w:r>
          </w:p>
        </w:tc>
        <w:tc>
          <w:tcPr>
            <w:tcW w:type="dxa" w:w="2520"/>
            <w:vAlign w:val="center"/>
            <w:shd w:fill="1F4E78"/>
          </w:tcPr>
          <w:p>
            <w:pPr>
              <w:spacing w:after="40"/>
            </w:pPr>
            <w:r/>
            <w:r>
              <w:rPr>
                <w:b/>
                <w:color w:val="FFFFFF"/>
                <w:sz w:val="16"/>
              </w:rPr>
              <w:t>Area</w:t>
            </w:r>
          </w:p>
        </w:tc>
        <w:tc>
          <w:tcPr>
            <w:tcW w:type="dxa" w:w="2520"/>
            <w:vAlign w:val="center"/>
            <w:shd w:fill="1F4E78"/>
          </w:tcPr>
          <w:p>
            <w:pPr>
              <w:spacing w:after="40"/>
            </w:pPr>
            <w:r/>
            <w:r>
              <w:rPr>
                <w:b/>
                <w:color w:val="FFFFFF"/>
                <w:sz w:val="16"/>
              </w:rPr>
              <w:t>Priority</w:t>
            </w:r>
          </w:p>
        </w:tc>
        <w:tc>
          <w:tcPr>
            <w:tcW w:type="dxa" w:w="2520"/>
            <w:vAlign w:val="center"/>
            <w:shd w:fill="1F4E78"/>
          </w:tcPr>
          <w:p>
            <w:pPr>
              <w:spacing w:after="40"/>
            </w:pPr>
            <w:r/>
            <w:r>
              <w:rPr>
                <w:b/>
                <w:color w:val="FFFFFF"/>
                <w:sz w:val="16"/>
              </w:rPr>
              <w:t>Requirement</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SEC-01</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Authentication</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Use a secure authentication mechanism appropriate to the target deployment; credentials must never be stored in plaintext.</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SEC-02</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Authorization</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Enforce least-privilege role-based permissions in backend services, not only in the UI.</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SEC-03</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Encryption</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Protect sensitive data in transit and at rest using approved cryptographic controls.</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SEC-04</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Auditability</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Record sensitive access, changes, exports, authentication events and system actions affecting clinical data.</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SEC-05</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Session security</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Provide timeout, logout, token/session protection and revocation controls as appropriate.</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SEC-06</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Secrets management</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Keep database, API and device credentials outside source code and manage them through a secure secret/configuration mechanism.</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SEC-07</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Backup and recovery</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Maintain protected backups and document recovery procedures for clinical data.</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SEC-08</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Privacy minimization</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Must</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Collect and expose only the data necessary for the defined use case and role.</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SEC-09</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Export controls</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Should</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Restrict report/data exports by role and log each export.</w:t>
            </w:r>
          </w:p>
        </w:tc>
      </w:tr>
      <w:tr>
        <w:tc>
          <w:tcPr>
            <w:tcW w:type="dxa" w:w="1008"/>
            <w:vAlign w:val="center"/>
            <w:tcBorders>
              <w:top w:val="single" w:sz="4" w:color="D9E2F3"/>
              <w:left w:val="single" w:sz="4" w:color="D9E2F3"/>
              <w:bottom w:val="single" w:sz="4" w:color="D9E2F3"/>
              <w:right w:val="single" w:sz="4" w:color="D9E2F3"/>
            </w:tcBorders>
          </w:tcPr>
          <w:p>
            <w:pPr>
              <w:spacing w:after="40"/>
            </w:pPr>
            <w:r/>
            <w:r>
              <w:rPr>
                <w:b w:val="0"/>
                <w:sz w:val="16"/>
              </w:rPr>
              <w:t>SEC-10</w:t>
            </w:r>
          </w:p>
        </w:tc>
        <w:tc>
          <w:tcPr>
            <w:tcW w:type="dxa" w:w="2016"/>
            <w:vAlign w:val="center"/>
            <w:tcBorders>
              <w:top w:val="single" w:sz="4" w:color="D9E2F3"/>
              <w:left w:val="single" w:sz="4" w:color="D9E2F3"/>
              <w:bottom w:val="single" w:sz="4" w:color="D9E2F3"/>
              <w:right w:val="single" w:sz="4" w:color="D9E2F3"/>
            </w:tcBorders>
          </w:tcPr>
          <w:p>
            <w:pPr>
              <w:spacing w:after="40"/>
            </w:pPr>
            <w:r/>
            <w:r>
              <w:rPr>
                <w:b w:val="0"/>
                <w:sz w:val="16"/>
              </w:rPr>
              <w:t>Audit immutability</w:t>
            </w:r>
          </w:p>
        </w:tc>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Should</w:t>
            </w:r>
          </w:p>
        </w:tc>
        <w:tc>
          <w:tcPr>
            <w:tcW w:type="dxa" w:w="6480"/>
            <w:vAlign w:val="center"/>
            <w:tcBorders>
              <w:top w:val="single" w:sz="4" w:color="D9E2F3"/>
              <w:left w:val="single" w:sz="4" w:color="D9E2F3"/>
              <w:bottom w:val="single" w:sz="4" w:color="D9E2F3"/>
              <w:right w:val="single" w:sz="4" w:color="D9E2F3"/>
            </w:tcBorders>
          </w:tcPr>
          <w:p>
            <w:pPr>
              <w:spacing w:after="40"/>
            </w:pPr>
            <w:r/>
            <w:r>
              <w:rPr>
                <w:b w:val="0"/>
                <w:sz w:val="16"/>
              </w:rPr>
              <w:t>Protect audit records from normal-user modification or deletion.</w:t>
            </w:r>
          </w:p>
        </w:tc>
      </w:tr>
    </w:tbl>
    <w:p>
      <w:pPr>
        <w:spacing w:after="40"/>
      </w:pPr>
    </w:p>
    <w:p>
      <w:pPr>
        <w:pStyle w:val="Heading1"/>
        <w:keepNext/>
      </w:pPr>
      <w:r>
        <w:t>17.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6"/>
              </w:rPr>
              <w:t>ID</w:t>
            </w:r>
          </w:p>
        </w:tc>
        <w:tc>
          <w:tcPr>
            <w:tcW w:type="dxa" w:w="3360"/>
            <w:vAlign w:val="center"/>
            <w:shd w:fill="1F4E78"/>
          </w:tcPr>
          <w:p>
            <w:pPr>
              <w:spacing w:after="40"/>
            </w:pPr>
            <w:r/>
            <w:r>
              <w:rPr>
                <w:b/>
                <w:color w:val="FFFFFF"/>
                <w:sz w:val="16"/>
              </w:rPr>
              <w:t>Area</w:t>
            </w:r>
          </w:p>
        </w:tc>
        <w:tc>
          <w:tcPr>
            <w:tcW w:type="dxa" w:w="3360"/>
            <w:vAlign w:val="center"/>
            <w:shd w:fill="1F4E78"/>
          </w:tcPr>
          <w:p>
            <w:pPr>
              <w:spacing w:after="40"/>
            </w:pPr>
            <w:r/>
            <w:r>
              <w:rPr>
                <w:b/>
                <w:color w:val="FFFFFF"/>
                <w:sz w:val="16"/>
              </w:rPr>
              <w:t>Requirement</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NFR-01</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Performance</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Common dashboard and search requests should return within an agreed target under expected production load. Exact SLA to be defined after capacity planning.</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NFR-02</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Availability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Production deployment should define an explicit availability target, maintenance window and degraded-mode behavior.</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NFR-03</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Scalability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Architecture should scale from a pilot facility to multiple facilities without redesigning the core data model.</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NFR-04</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Reliability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No acknowledged clinical result should be lost because of a transient API/device/network failure.</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NFR-05</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Data integrity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Foreign keys, constraints, validation and transactional updates shall protect patient and test records from corruption.</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NFR-06</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Observability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Application, API, database, background-job and integration health shall be observable through structured logs and metrics.</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NFR-07</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Maintainability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Use modular services/modules, automated tests, code review, documentation and consistent coding standards.</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NFR-08</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Accessibility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UI should follow an accessible design approach suitable for clinical staff with varying devices and environments.</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NFR-09</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Localization/time</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Dates, times, units and locale behavior shall be explicit and unambiguous; storage should use a consistent time standard.</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NFR-10</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Backup/restore</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Backup schedules, retention and recovery objectives shall be defined before production deployment.</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NFR-11</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Disaster recovery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Document recovery steps for database, application, integrations and configuration.</w:t>
            </w:r>
          </w:p>
        </w:tc>
      </w:tr>
      <w:tr>
        <w:tc>
          <w:tcPr>
            <w:tcW w:type="dxa" w:w="1152"/>
            <w:vAlign w:val="center"/>
            <w:tcBorders>
              <w:top w:val="single" w:sz="4" w:color="D9E2F3"/>
              <w:left w:val="single" w:sz="4" w:color="D9E2F3"/>
              <w:bottom w:val="single" w:sz="4" w:color="D9E2F3"/>
              <w:right w:val="single" w:sz="4" w:color="D9E2F3"/>
            </w:tcBorders>
          </w:tcPr>
          <w:p>
            <w:pPr>
              <w:spacing w:after="40"/>
            </w:pPr>
            <w:r/>
            <w:r>
              <w:rPr>
                <w:b w:val="0"/>
                <w:sz w:val="16"/>
              </w:rPr>
              <w:t>NFR-12</w:t>
            </w:r>
          </w:p>
        </w:tc>
        <w:tc>
          <w:tcPr>
            <w:tcW w:type="dxa" w:w="2160"/>
            <w:vAlign w:val="center"/>
            <w:tcBorders>
              <w:top w:val="single" w:sz="4" w:color="D9E2F3"/>
              <w:left w:val="single" w:sz="4" w:color="D9E2F3"/>
              <w:bottom w:val="single" w:sz="4" w:color="D9E2F3"/>
              <w:right w:val="single" w:sz="4" w:color="D9E2F3"/>
            </w:tcBorders>
          </w:tcPr>
          <w:p>
            <w:pPr>
              <w:spacing w:after="40"/>
            </w:pPr>
            <w:r/>
            <w:r>
              <w:rPr>
                <w:b w:val="0"/>
                <w:sz w:val="16"/>
              </w:rPr>
              <w:t>Configurability</w:t>
            </w:r>
          </w:p>
        </w:tc>
        <w:tc>
          <w:tcPr>
            <w:tcW w:type="dxa" w:w="7344"/>
            <w:vAlign w:val="center"/>
            <w:tcBorders>
              <w:top w:val="single" w:sz="4" w:color="D9E2F3"/>
              <w:left w:val="single" w:sz="4" w:color="D9E2F3"/>
              <w:bottom w:val="single" w:sz="4" w:color="D9E2F3"/>
              <w:right w:val="single" w:sz="4" w:color="D9E2F3"/>
            </w:tcBorders>
          </w:tcPr>
          <w:p>
            <w:pPr>
              <w:spacing w:after="40"/>
            </w:pPr>
            <w:r/>
            <w:r>
              <w:rPr>
                <w:b w:val="0"/>
                <w:sz w:val="16"/>
              </w:rPr>
              <w:t>Non-code configuration should support safe changes with versioning and audit history.</w:t>
            </w:r>
          </w:p>
        </w:tc>
      </w:tr>
    </w:tbl>
    <w:p>
      <w:pPr>
        <w:spacing w:after="40"/>
      </w:pPr>
    </w:p>
    <w:p>
      <w:pPr>
        <w:pStyle w:val="Heading1"/>
        <w:keepNext/>
      </w:pPr>
      <w:r>
        <w:t>18. Proposed System Architecture</w:t>
      </w:r>
    </w:p>
    <w:p>
      <w:pPr>
        <w:spacing w:after="120"/>
      </w:pPr>
      <w:r>
        <w:t>The recommended architecture separates clinical records, device integration and future analytics. A modular monolith is acceptable for the first production stage if service boundaries and contracts are kept clean; the system should not be forced into microservices solely for appearance.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Layer</w:t>
            </w:r>
          </w:p>
        </w:tc>
        <w:tc>
          <w:tcPr>
            <w:tcW w:type="dxa" w:w="5040"/>
            <w:vAlign w:val="center"/>
            <w:shd w:fill="1F4E78"/>
          </w:tcPr>
          <w:p>
            <w:pPr>
              <w:spacing w:after="40"/>
            </w:pPr>
            <w:r/>
            <w:r>
              <w:rPr>
                <w:b/>
                <w:color w:val="FFFFFF"/>
                <w:sz w:val="17"/>
              </w:rPr>
              <w:t>Responsibility</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Client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Web application for clinicians, nurses, laboratory users, program/reporting users and administrators.</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API / application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Authentication, authorization, patient/case management, encounters, observations, treatment records, reports and configuration.</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Integration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MRX device adapters, external laboratory/information-system adapters, queueing and reconciliation.</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Data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Relational database for core transactional data; object/file storage for generated reports and controlled documents.</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Analytics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Trend calculations, non-clinical summaries and future ML/AI services behind a controlled contract.</w:t>
            </w:r>
          </w:p>
        </w:tc>
      </w:tr>
      <w:tr>
        <w:tc>
          <w:tcPr>
            <w:tcW w:type="dxa" w:w="2880"/>
            <w:vAlign w:val="center"/>
            <w:tcBorders>
              <w:top w:val="single" w:sz="4" w:color="D9E2F3"/>
              <w:left w:val="single" w:sz="4" w:color="D9E2F3"/>
              <w:bottom w:val="single" w:sz="4" w:color="D9E2F3"/>
              <w:right w:val="single" w:sz="4" w:color="D9E2F3"/>
            </w:tcBorders>
          </w:tcPr>
          <w:p>
            <w:pPr>
              <w:spacing w:after="40"/>
            </w:pPr>
            <w:r/>
            <w:r>
              <w:rPr>
                <w:b w:val="0"/>
                <w:sz w:val="17"/>
              </w:rPr>
              <w:t>Operational layer</w:t>
            </w:r>
          </w:p>
        </w:tc>
        <w:tc>
          <w:tcPr>
            <w:tcW w:type="dxa" w:w="7776"/>
            <w:vAlign w:val="center"/>
            <w:tcBorders>
              <w:top w:val="single" w:sz="4" w:color="D9E2F3"/>
              <w:left w:val="single" w:sz="4" w:color="D9E2F3"/>
              <w:bottom w:val="single" w:sz="4" w:color="D9E2F3"/>
              <w:right w:val="single" w:sz="4" w:color="D9E2F3"/>
            </w:tcBorders>
          </w:tcPr>
          <w:p>
            <w:pPr>
              <w:spacing w:after="40"/>
            </w:pPr>
            <w:r/>
            <w:r>
              <w:rPr>
                <w:b w:val="0"/>
                <w:sz w:val="17"/>
              </w:rPr>
              <w:t>Logging, metrics, audit, backups, monitoring, deployment and configuration management.</w:t>
            </w:r>
          </w:p>
        </w:tc>
      </w:tr>
    </w:tbl>
    <w:p>
      <w:pPr>
        <w:spacing w:after="40"/>
      </w:pPr>
    </w:p>
    <w:p>
      <w:pPr>
        <w:spacing w:after="120"/>
      </w:pPr>
      <w:r>
        <w:t>Suggested logical flow:</w:t>
      </w:r>
    </w:p>
    <w:p>
      <w:pPr>
        <w:pStyle w:val="IntenseQuote"/>
      </w:pPr>
      <w:r>
        <w:t>MRX Device / Lab System -&gt; Integration API -&gt; Validation &amp; Reconciliation -&gt; Clinical Data Store</w:t>
      </w:r>
    </w:p>
    <w:p>
      <w:pPr>
        <w:pStyle w:val="IntenseQuote"/>
      </w:pPr>
      <w:r>
        <w:t>Clinician Web App -&gt; API -&gt; Authorization -&gt; Clinical Data Store</w:t>
      </w:r>
    </w:p>
    <w:p>
      <w:pPr>
        <w:pStyle w:val="IntenseQuote"/>
      </w:pPr>
      <w:r>
        <w:t>Clinical Data Store -&gt; Trend/Report Services -&gt; Dashboard / Report</w:t>
      </w:r>
    </w:p>
    <w:p>
      <w:pPr>
        <w:pStyle w:val="IntenseQuote"/>
      </w:pPr>
      <w:r>
        <w:t>Approved Data Extract -&gt; Analytics/AI Service -&gt; Clinician Review / Audit</w:t>
      </w:r>
    </w:p>
    <w:p>
      <w:pPr>
        <w:pStyle w:val="Heading1"/>
        <w:keepNext/>
      </w:pPr>
      <w:r>
        <w:t>19. Technology Direction</w:t>
      </w:r>
    </w:p>
    <w:p>
      <w:pPr>
        <w:spacing w:after="120"/>
      </w:pPr>
      <w:r>
        <w:t>The supplied assignment permits the developer to choose a comfortable stack and lists examples such as React, Angular, Vue, Django and .NET. The final technology stack should therefore be selected on production criteria rather than assignment convenience.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Layer</w:t>
            </w:r>
          </w:p>
        </w:tc>
        <w:tc>
          <w:tcPr>
            <w:tcW w:type="dxa" w:w="3360"/>
            <w:vAlign w:val="center"/>
            <w:shd w:fill="1F4E78"/>
          </w:tcPr>
          <w:p>
            <w:pPr>
              <w:spacing w:after="40"/>
            </w:pPr>
            <w:r/>
            <w:r>
              <w:rPr>
                <w:b/>
                <w:color w:val="FFFFFF"/>
                <w:sz w:val="17"/>
              </w:rPr>
              <w:t>Recommended direction for evaluation</w:t>
            </w:r>
          </w:p>
        </w:tc>
        <w:tc>
          <w:tcPr>
            <w:tcW w:type="dxa" w:w="3360"/>
            <w:vAlign w:val="center"/>
            <w:shd w:fill="1F4E78"/>
          </w:tcPr>
          <w:p>
            <w:pPr>
              <w:spacing w:after="40"/>
            </w:pPr>
            <w:r/>
            <w:r>
              <w:rPr>
                <w:b/>
                <w:color w:val="FFFFFF"/>
                <w:sz w:val="17"/>
              </w:rPr>
              <w:t>Production decision principle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Frontend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React/Next.js or equivalent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Pick the stack the team can maintain with strong testing and accessibility practices.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Backend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Django/DRF, FastAPI, Spring Boot or .NET equivalent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Prefer strong validation, security, documentation and team expertise.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Database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PostgreSQL</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Use relational constraints and migrations for clinical transactional data.</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Async processing</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Celery/RQ, background workers, or equivalent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For reports, device ingestion, notifications and long-running jobs.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Object storage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S3-compatible or managed blob storage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For generated reports and controlled attachments.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Deployment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Docker + managed VM/container platform initially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Use infrastructure-as-code and controlled release process as the product matures.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Observability</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Centralized logs + metrics + tracing where useful</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All production incidents should be diagnosable without direct database inspection.</w:t>
            </w:r>
          </w:p>
        </w:tc>
      </w:tr>
    </w:tbl>
    <w:p>
      <w:pPr>
        <w:spacing w:after="40"/>
      </w:pPr>
    </w:p>
    <w:tbl>
      <w:tblPr>
        <w:tblW w:type="auto" w:w="0"/>
        <w:jc w:val="center"/>
        <w:tblLook w:firstColumn="1" w:firstRow="1" w:lastColumn="0" w:lastRow="0" w:noHBand="0" w:noVBand="1" w:val="04A0"/>
      </w:tblPr>
      <w:tblGrid>
        <w:gridCol w:w="10080"/>
      </w:tblGrid>
      <w:tr>
        <w:tc>
          <w:tcPr>
            <w:tcW w:type="dxa" w:w="10080"/>
            <w:shd w:fill="F3F6FA"/>
          </w:tcPr>
          <w:p>
            <w:pPr>
              <w:spacing w:after="0"/>
            </w:pPr>
            <w:r/>
            <w:r>
              <w:rPr>
                <w:b/>
                <w:color w:val="1F4E79"/>
              </w:rPr>
              <w:t xml:space="preserve">Stack note: </w:t>
            </w:r>
            <w:r>
              <w:rPr>
                <w:sz w:val="18"/>
              </w:rPr>
              <w:t>The MRX concept note does not prescribe a software stack. The above is a recommended engineering direction, not a source-derived requirement.</w:t>
            </w:r>
          </w:p>
        </w:tc>
      </w:tr>
    </w:tbl>
    <w:p>
      <w:pPr>
        <w:spacing w:after="40"/>
      </w:pPr>
    </w:p>
    <w:p>
      <w:pPr>
        <w:pStyle w:val="Heading1"/>
        <w:keepNext/>
      </w:pPr>
      <w:r>
        <w:t>20. Analytics and Future AI Requirements</w:t>
      </w:r>
    </w:p>
    <w:p>
      <w:pPr>
        <w:spacing w:after="120"/>
      </w:pPr>
      <w:r>
        <w:t>The MRX concept note places AI-assisted interpretation in a later phase. Therefore AI should be implemented as a controlled extension rather than embedded into the core clinical record workflow from the beginning.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Stage</w:t>
            </w:r>
          </w:p>
        </w:tc>
        <w:tc>
          <w:tcPr>
            <w:tcW w:type="dxa" w:w="3360"/>
            <w:vAlign w:val="center"/>
            <w:shd w:fill="1F4E78"/>
          </w:tcPr>
          <w:p>
            <w:pPr>
              <w:spacing w:after="40"/>
            </w:pPr>
            <w:r/>
            <w:r>
              <w:rPr>
                <w:b/>
                <w:color w:val="FFFFFF"/>
                <w:sz w:val="17"/>
              </w:rPr>
              <w:t>Capability</w:t>
            </w:r>
          </w:p>
        </w:tc>
        <w:tc>
          <w:tcPr>
            <w:tcW w:type="dxa" w:w="3360"/>
            <w:vAlign w:val="center"/>
            <w:shd w:fill="1F4E78"/>
          </w:tcPr>
          <w:p>
            <w:pPr>
              <w:spacing w:after="40"/>
            </w:pPr>
            <w:r/>
            <w:r>
              <w:rPr>
                <w:b/>
                <w:color w:val="FFFFFF"/>
                <w:sz w:val="17"/>
              </w:rPr>
              <w:t>Safety/traceability requirement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Descriptive analytics: trends, counts, timelines, report summaries.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Calculations must be deterministic and testable.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B</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Non-diagnostic summarization of longitudinal records.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Clearly label generated summaries; retain model/version metadata.</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C</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Validated predictive/risk models for defined use cases.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Require dataset governance, validation, calibration, bias/safety review and clinical approval.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D</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decision-support features.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Require explicit clinical governance, human review, monitoring, versioning and applicable regulatory assessment.</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Pr>
          <w:p>
            <w:pPr>
              <w:spacing w:after="0"/>
            </w:pPr>
            <w:r/>
            <w:r>
              <w:rPr>
                <w:b/>
                <w:color w:val="1F4E79"/>
              </w:rPr>
              <w:t xml:space="preserve">AI safety boundary: </w:t>
            </w:r>
            <w:r>
              <w:rPr>
                <w:sz w:val="18"/>
              </w:rPr>
              <w:t>The platform shall never silently convert an experimental model output into a diagnosis, treatment recommendation or patient alert without an approved clinical specification, validation evidence and appropriate human oversight.</w:t>
            </w:r>
          </w:p>
        </w:tc>
      </w:tr>
    </w:tbl>
    <w:p>
      <w:pPr>
        <w:spacing w:after="40"/>
      </w:pPr>
    </w:p>
    <w:p>
      <w:pPr>
        <w:pStyle w:val="Heading1"/>
        <w:keepNext/>
      </w:pPr>
      <w:r>
        <w:t>21. Testing and Validation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Test level</w:t>
            </w:r>
          </w:p>
        </w:tc>
        <w:tc>
          <w:tcPr>
            <w:tcW w:type="dxa" w:w="5040"/>
            <w:vAlign w:val="center"/>
            <w:shd w:fill="1F4E78"/>
          </w:tcPr>
          <w:p>
            <w:pPr>
              <w:spacing w:after="40"/>
            </w:pPr>
            <w:r/>
            <w:r>
              <w:rPr>
                <w:b/>
                <w:color w:val="FFFFFF"/>
                <w:sz w:val="17"/>
              </w:rPr>
              <w:t>Coverage</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Unit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Validation rules, calculations, parsers, permissions and utility functions.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API/service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Authentication, authorization, business rules, CRUD behavior, validation, idempotency.</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Database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Constraints, migrations, uniqueness, referential integrity and transaction behavior.</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UI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Critical workflows, role behavior, charts, forms, keyboard/accessibility checks.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Integration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Device ingestion, report generation, file storage, email/notification integrations if used.</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Security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Authentication, access-control bypass, injection, session handling, secret exposure and export controls.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Performance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Search, dashboard, reporting, imports and concurrency under expected load.</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Recovery tests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Backup restore, failed message retry, service restart and partial outage behavior.</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Clinical validation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Separate validation of any medical logic, thresholds, alerts, scoring or AI outputs by qualified clinical stakeholders.</w:t>
            </w:r>
          </w:p>
        </w:tc>
      </w:tr>
    </w:tbl>
    <w:p>
      <w:pPr>
        <w:spacing w:after="40"/>
      </w:pPr>
    </w:p>
    <w:p>
      <w:pPr>
        <w:pStyle w:val="Heading1"/>
        <w:keepNext/>
      </w:pPr>
      <w:r>
        <w:t>22. Data Quality and Clinical Validation Gates</w:t>
      </w:r>
    </w:p>
    <w:p>
      <w:pPr>
        <w:pStyle w:val="ListNumber"/>
        <w:spacing w:after="40"/>
      </w:pPr>
      <w:r>
        <w:t>Define a data dictionary for every production field, including owner, type, unit, permitted values and provenance.</w:t>
      </w:r>
    </w:p>
    <w:p>
      <w:pPr>
        <w:pStyle w:val="ListNumber"/>
        <w:spacing w:after="40"/>
      </w:pPr>
      <w:r>
        <w:t>Obtain clinical sign-off for TB-specific terminology, case fields, treatment fields, follow-up workflows and alert rules.</w:t>
      </w:r>
    </w:p>
    <w:p>
      <w:pPr>
        <w:pStyle w:val="ListNumber"/>
        <w:spacing w:after="40"/>
      </w:pPr>
      <w:r>
        <w:t>Create validation rules that distinguish invalid input from valid but clinically unusual values.</w:t>
      </w:r>
    </w:p>
    <w:p>
      <w:pPr>
        <w:pStyle w:val="ListNumber"/>
        <w:spacing w:after="40"/>
      </w:pPr>
      <w:r>
        <w:t>Version forms, configuration and clinical rules so historical records remain interpretable.</w:t>
      </w:r>
    </w:p>
    <w:p>
      <w:pPr>
        <w:pStyle w:val="ListNumber"/>
        <w:spacing w:after="40"/>
      </w:pPr>
      <w:r>
        <w:t>Test imports from each device or external system against representative positive, negative, duplicate and malformed cases.</w:t>
      </w:r>
    </w:p>
    <w:p>
      <w:pPr>
        <w:pStyle w:val="ListNumber"/>
        <w:spacing w:after="40"/>
      </w:pPr>
      <w:r>
        <w:t>Establish a formal process for changing clinically relevant rules without silently changing historical interpretation.</w:t>
      </w:r>
    </w:p>
    <w:p>
      <w:pPr>
        <w:pStyle w:val="Heading1"/>
        <w:keepNext/>
      </w:pPr>
      <w:r>
        <w:t>23. Deployment and Operations Requirements</w:t>
      </w:r>
    </w:p>
    <w:p>
      <w:pPr>
        <w:pStyle w:val="ListBullet"/>
        <w:spacing w:after="40"/>
      </w:pPr>
      <w:r>
        <w:rPr>
          <w:b/>
        </w:rPr>
        <w:t xml:space="preserve">Environment separation: </w:t>
      </w:r>
      <w:r>
        <w:t>Development, test/staging and production environments shall be separate.</w:t>
      </w:r>
    </w:p>
    <w:p>
      <w:pPr>
        <w:pStyle w:val="ListBullet"/>
        <w:spacing w:after="40"/>
      </w:pPr>
      <w:r>
        <w:rPr>
          <w:b/>
        </w:rPr>
        <w:t xml:space="preserve">Configuration: </w:t>
      </w:r>
      <w:r>
        <w:t>Environment-specific configuration and secrets shall not be hard-coded.</w:t>
      </w:r>
    </w:p>
    <w:p>
      <w:pPr>
        <w:pStyle w:val="ListBullet"/>
        <w:spacing w:after="40"/>
      </w:pPr>
      <w:r>
        <w:rPr>
          <w:b/>
        </w:rPr>
        <w:t xml:space="preserve">CI/CD: </w:t>
      </w:r>
      <w:r>
        <w:t>Every release should execute automated tests and security/quality checks before deployment.</w:t>
      </w:r>
    </w:p>
    <w:p>
      <w:pPr>
        <w:pStyle w:val="ListBullet"/>
        <w:spacing w:after="40"/>
      </w:pPr>
      <w:r>
        <w:rPr>
          <w:b/>
        </w:rPr>
        <w:t xml:space="preserve">Migration control: </w:t>
      </w:r>
      <w:r>
        <w:t>Database changes shall be versioned and reversible where practical.</w:t>
      </w:r>
    </w:p>
    <w:p>
      <w:pPr>
        <w:pStyle w:val="ListBullet"/>
        <w:spacing w:after="40"/>
      </w:pPr>
      <w:r>
        <w:rPr>
          <w:b/>
        </w:rPr>
        <w:t xml:space="preserve">Backup: </w:t>
      </w:r>
      <w:r>
        <w:t>Automated backups and restore tests shall be established before production use.</w:t>
      </w:r>
    </w:p>
    <w:p>
      <w:pPr>
        <w:pStyle w:val="ListBullet"/>
        <w:spacing w:after="40"/>
      </w:pPr>
      <w:r>
        <w:rPr>
          <w:b/>
        </w:rPr>
        <w:t xml:space="preserve">Monitoring: </w:t>
      </w:r>
      <w:r>
        <w:t>Health checks, database monitoring, job/integration monitoring and alerting shall be implemented.</w:t>
      </w:r>
    </w:p>
    <w:p>
      <w:pPr>
        <w:pStyle w:val="ListBullet"/>
        <w:spacing w:after="40"/>
      </w:pPr>
      <w:r>
        <w:rPr>
          <w:b/>
        </w:rPr>
        <w:t xml:space="preserve">Incident response: </w:t>
      </w:r>
      <w:r>
        <w:t>There shall be a documented process for security incidents, data integrity issues and service outages.</w:t>
      </w:r>
    </w:p>
    <w:p>
      <w:pPr>
        <w:pStyle w:val="ListBullet"/>
        <w:spacing w:after="40"/>
      </w:pPr>
      <w:r>
        <w:rPr>
          <w:b/>
        </w:rPr>
        <w:t xml:space="preserve">Release records: </w:t>
      </w:r>
      <w:r>
        <w:t>Production releases should record software version, database migration version, configuration/rule versions and deployment time.</w:t>
      </w:r>
    </w:p>
    <w:p>
      <w:pPr>
        <w:pStyle w:val="Heading1"/>
        <w:keepNext/>
      </w:pPr>
      <w:r>
        <w:t>24. Product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Phase</w:t>
            </w:r>
          </w:p>
        </w:tc>
        <w:tc>
          <w:tcPr>
            <w:tcW w:type="dxa" w:w="3360"/>
            <w:vAlign w:val="center"/>
            <w:shd w:fill="1F4E78"/>
          </w:tcPr>
          <w:p>
            <w:pPr>
              <w:spacing w:after="40"/>
            </w:pPr>
            <w:r/>
            <w:r>
              <w:rPr>
                <w:b/>
                <w:color w:val="FFFFFF"/>
                <w:sz w:val="17"/>
              </w:rPr>
              <w:t>Focus</w:t>
            </w:r>
          </w:p>
        </w:tc>
        <w:tc>
          <w:tcPr>
            <w:tcW w:type="dxa" w:w="3360"/>
            <w:vAlign w:val="center"/>
            <w:shd w:fill="1F4E78"/>
          </w:tcPr>
          <w:p>
            <w:pPr>
              <w:spacing w:after="40"/>
            </w:pPr>
            <w:r/>
            <w:r>
              <w:rPr>
                <w:b/>
                <w:color w:val="FFFFFF"/>
                <w:sz w:val="17"/>
              </w:rPr>
              <w:t>Exit criteria</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0 - Requirements &amp; clinical design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discovery, data dictionary, workflow mapping, target deployment definition, threat model.</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Approved PRS + clinical workflow + data dictionary + architecture decision.</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1 - Core platform</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Patient, TB case, test/biomarker records, dashboard, timeline, basic reports, RBAC, audit.</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End-to-end patient monitoring workflow works in controlled test environment.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2 - Production readiness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Device/API integration, observability, backup/restore, security hardening, performance, deployment automation.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Operational readiness and security acceptance.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3 - Clinical validation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review of forms, terminology, rules and workflows; pilot validation.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sign-off and defined intended-use boundary.</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4 - Multi-biomarker expansion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Additional MRX biomarker modules and more robust device integration.</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New biomarkers added without changes to core patient model.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Phase 5 - AI / analytics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Validated analytics and selected decision-support features.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Model validation, governance and deployment approval for each use case.</w:t>
            </w:r>
          </w:p>
        </w:tc>
      </w:tr>
    </w:tbl>
    <w:p>
      <w:pPr>
        <w:spacing w:after="40"/>
      </w:pPr>
    </w:p>
    <w:p>
      <w:pPr>
        <w:pStyle w:val="Heading1"/>
        <w:keepNext/>
      </w:pPr>
      <w:r>
        <w:t>25. Initial Product Acceptance Criteria</w:t>
      </w:r>
    </w:p>
    <w:p>
      <w:pPr>
        <w:pStyle w:val="ListNumber"/>
        <w:spacing w:after="40"/>
      </w:pPr>
      <w:r>
        <w:t>An authorized user can create, search and retrieve a patient without creating uncontrolled duplicates.</w:t>
      </w:r>
    </w:p>
    <w:p>
      <w:pPr>
        <w:pStyle w:val="ListNumber"/>
        <w:spacing w:after="40"/>
      </w:pPr>
      <w:r>
        <w:t>A patient can have one or more TB cases/episodes, with historical cases preserved.</w:t>
      </w:r>
    </w:p>
    <w:p>
      <w:pPr>
        <w:pStyle w:val="ListNumber"/>
        <w:spacing w:after="40"/>
      </w:pPr>
      <w:r>
        <w:t>A case can contain dated follow-ups and multiple tests/biomarker observations.</w:t>
      </w:r>
    </w:p>
    <w:p>
      <w:pPr>
        <w:pStyle w:val="ListNumber"/>
        <w:spacing w:after="40"/>
      </w:pPr>
      <w:r>
        <w:t>CRP can be represented using the generic biomarker structure without special-case database columns.</w:t>
      </w:r>
    </w:p>
    <w:p>
      <w:pPr>
        <w:pStyle w:val="ListNumber"/>
        <w:spacing w:after="40"/>
      </w:pPr>
      <w:r>
        <w:t>The same biomarker can be recorded repeatedly and displayed chronologically.</w:t>
      </w:r>
    </w:p>
    <w:p>
      <w:pPr>
        <w:pStyle w:val="ListNumber"/>
        <w:spacing w:after="40"/>
      </w:pPr>
      <w:r>
        <w:t>A clinician can view latest and previous results from one dashboard.</w:t>
      </w:r>
    </w:p>
    <w:p>
      <w:pPr>
        <w:pStyle w:val="ListNumber"/>
        <w:spacing w:after="40"/>
      </w:pPr>
      <w:r>
        <w:t>A clinician can select a biomarker/measurement and view a time-series chart using stored observations.</w:t>
      </w:r>
    </w:p>
    <w:p>
      <w:pPr>
        <w:pStyle w:val="ListNumber"/>
        <w:spacing w:after="40"/>
      </w:pPr>
      <w:r>
        <w:t>A patient timeline shows major events in chronological order.</w:t>
      </w:r>
    </w:p>
    <w:p>
      <w:pPr>
        <w:pStyle w:val="ListNumber"/>
        <w:spacing w:after="40"/>
      </w:pPr>
      <w:r>
        <w:t>Authorized users can generate a report containing patient details, case information, test history and selected trends.</w:t>
      </w:r>
    </w:p>
    <w:p>
      <w:pPr>
        <w:pStyle w:val="ListNumber"/>
        <w:spacing w:after="40"/>
      </w:pPr>
      <w:r>
        <w:t>Role restrictions work at the API/service layer as well as the UI layer.</w:t>
      </w:r>
    </w:p>
    <w:p>
      <w:pPr>
        <w:pStyle w:val="ListNumber"/>
        <w:spacing w:after="40"/>
      </w:pPr>
      <w:r>
        <w:t>Sensitive changes and exports are recorded in an audit trail.</w:t>
      </w:r>
    </w:p>
    <w:p>
      <w:pPr>
        <w:pStyle w:val="ListNumber"/>
        <w:spacing w:after="40"/>
      </w:pPr>
      <w:r>
        <w:t>The database design can accept future biomarkers without schema redesign.</w:t>
      </w:r>
    </w:p>
    <w:p>
      <w:pPr>
        <w:pStyle w:val="ListNumber"/>
        <w:spacing w:after="40"/>
      </w:pPr>
      <w:r>
        <w:t>The system can ingest or reconcile MRX measurements through a controlled integration boundary.</w:t>
      </w:r>
    </w:p>
    <w:p>
      <w:pPr>
        <w:pStyle w:val="ListNumber"/>
        <w:spacing w:after="40"/>
      </w:pPr>
      <w:r>
        <w:t>All production clinical fields and TB-specific rules are traceable to an approved clinical specification before release.</w:t>
      </w:r>
    </w:p>
    <w:p>
      <w:pPr>
        <w:pStyle w:val="Heading1"/>
        <w:keepNext/>
      </w:pPr>
      <w:r>
        <w:t>26. Open Decisions Before Development Freeze</w:t>
      </w:r>
    </w:p>
    <w:p>
      <w:pPr>
        <w:pStyle w:val="ListNumber"/>
        <w:spacing w:after="40"/>
      </w:pPr>
      <w:r>
        <w:t>Target deployment: standalone clinic, hospital, diagnostic laboratory, or multi-facility network?</w:t>
      </w:r>
    </w:p>
    <w:p>
      <w:pPr>
        <w:pStyle w:val="ListNumber"/>
        <w:spacing w:after="40"/>
      </w:pPr>
      <w:r>
        <w:t>Exact TB clinical workflow and approved data set?</w:t>
      </w:r>
    </w:p>
    <w:p>
      <w:pPr>
        <w:pStyle w:val="ListNumber"/>
        <w:spacing w:after="40"/>
      </w:pPr>
      <w:r>
        <w:t>Which user roles are required for the pilot and what exact permissions does each role need?</w:t>
      </w:r>
    </w:p>
    <w:p>
      <w:pPr>
        <w:pStyle w:val="ListNumber"/>
        <w:spacing w:after="40"/>
      </w:pPr>
      <w:r>
        <w:t>Which laboratory systems or MRX hardware interfaces must be integrated first?</w:t>
      </w:r>
    </w:p>
    <w:p>
      <w:pPr>
        <w:pStyle w:val="ListNumber"/>
        <w:spacing w:after="40"/>
      </w:pPr>
      <w:r>
        <w:t>Will the platform operate online only or need an offline/poor-connectivity mode?</w:t>
      </w:r>
    </w:p>
    <w:p>
      <w:pPr>
        <w:pStyle w:val="ListNumber"/>
        <w:spacing w:after="40"/>
      </w:pPr>
      <w:r>
        <w:t>What data retention period is required for the intended deployment?</w:t>
      </w:r>
    </w:p>
    <w:p>
      <w:pPr>
        <w:pStyle w:val="ListNumber"/>
        <w:spacing w:after="40"/>
      </w:pPr>
      <w:r>
        <w:t>What report formats and signatures/approvals are required?</w:t>
      </w:r>
    </w:p>
    <w:p>
      <w:pPr>
        <w:pStyle w:val="ListNumber"/>
        <w:spacing w:after="40"/>
      </w:pPr>
      <w:r>
        <w:t>What clinical alerts, if any, are required in the first release?</w:t>
      </w:r>
    </w:p>
    <w:p>
      <w:pPr>
        <w:pStyle w:val="ListNumber"/>
        <w:spacing w:after="40"/>
      </w:pPr>
      <w:r>
        <w:t>Which country/jurisdiction and regulatory pathway governs the final product?</w:t>
      </w:r>
    </w:p>
    <w:p>
      <w:pPr>
        <w:pStyle w:val="ListNumber"/>
        <w:spacing w:after="40"/>
      </w:pPr>
      <w:r>
        <w:t>What is the intended-use statement for the software and for any future AI feature?</w:t>
      </w:r>
    </w:p>
    <w:p>
      <w:pPr>
        <w:pStyle w:val="Heading1"/>
        <w:keepNext/>
      </w:pPr>
      <w:r>
        <w:t>27. Product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spacing w:after="40"/>
            </w:pPr>
            <w:r/>
            <w:r>
              <w:rPr>
                <w:b/>
                <w:color w:val="FFFFFF"/>
                <w:sz w:val="17"/>
              </w:rPr>
              <w:t>Risk</w:t>
            </w:r>
          </w:p>
        </w:tc>
        <w:tc>
          <w:tcPr>
            <w:tcW w:type="dxa" w:w="3360"/>
            <w:vAlign w:val="center"/>
            <w:shd w:fill="1F4E78"/>
          </w:tcPr>
          <w:p>
            <w:pPr>
              <w:spacing w:after="40"/>
            </w:pPr>
            <w:r/>
            <w:r>
              <w:rPr>
                <w:b/>
                <w:color w:val="FFFFFF"/>
                <w:sz w:val="17"/>
              </w:rPr>
              <w:t>Impact</w:t>
            </w:r>
          </w:p>
        </w:tc>
        <w:tc>
          <w:tcPr>
            <w:tcW w:type="dxa" w:w="3360"/>
            <w:vAlign w:val="center"/>
            <w:shd w:fill="1F4E78"/>
          </w:tcPr>
          <w:p>
            <w:pPr>
              <w:spacing w:after="40"/>
            </w:pPr>
            <w:r/>
            <w:r>
              <w:rPr>
                <w:b/>
                <w:color w:val="FFFFFF"/>
                <w:sz w:val="17"/>
              </w:rPr>
              <w:t>Mitigation</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Clinical requirements are guessed from software assumptions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Use a clinical lead and approve the data dictionary/workflows before build freeze.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Hard-coded CRP design blocks future biomarkers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Generic biomarker/test model and stable codes from the start.</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Unauthorized access to patient 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RBAC, least privilege, encryption, logging, security testing and controlled exports.</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Bad or duplicated device data</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Source provenance, schema validation, idempotency, reconciliation and audit trail.</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AI is trusted beyond its validated use</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Separate AI service, explicit labeling, human review, validation and governance.</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Operational failure causes missing records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Transactional writes, queues/retries, monitoring, backups and recovery testing.</w:t>
            </w:r>
          </w:p>
        </w:tc>
      </w:tr>
      <w:tr>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Rules change over time and historical results become ambiguous</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Medium/High</w:t>
            </w:r>
          </w:p>
        </w:tc>
        <w:tc>
          <w:tcPr>
            <w:tcW w:type="dxa" w:w="3360"/>
            <w:vAlign w:val="center"/>
            <w:tcBorders>
              <w:top w:val="single" w:sz="4" w:color="D9E2F3"/>
              <w:left w:val="single" w:sz="4" w:color="D9E2F3"/>
              <w:bottom w:val="single" w:sz="4" w:color="D9E2F3"/>
              <w:right w:val="single" w:sz="4" w:color="D9E2F3"/>
            </w:tcBorders>
          </w:tcPr>
          <w:p>
            <w:pPr>
              <w:spacing w:after="40"/>
            </w:pPr>
            <w:r/>
            <w:r>
              <w:rPr>
                <w:b w:val="0"/>
                <w:sz w:val="17"/>
              </w:rPr>
              <w:t>Version clinical rules, configuration and reports; preserve historical interpretation metadata.</w:t>
            </w:r>
          </w:p>
        </w:tc>
      </w:tr>
    </w:tbl>
    <w:p>
      <w:pPr>
        <w:spacing w:after="40"/>
      </w:pPr>
    </w:p>
    <w:p>
      <w:pPr>
        <w:pStyle w:val="Heading1"/>
        <w:keepNext/>
      </w:pPr>
      <w:r>
        <w:t>28. Requirement Traceability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Source capability / requirement</w:t>
            </w:r>
          </w:p>
        </w:tc>
        <w:tc>
          <w:tcPr>
            <w:tcW w:type="dxa" w:w="5040"/>
            <w:vAlign w:val="center"/>
            <w:shd w:fill="1F4E78"/>
          </w:tcPr>
          <w:p>
            <w:pPr>
              <w:spacing w:after="40"/>
            </w:pPr>
            <w:r/>
            <w:r>
              <w:rPr>
                <w:b/>
                <w:color w:val="FFFFFF"/>
                <w:sz w:val="17"/>
              </w:rPr>
              <w:t>Mapped PRS sections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Patient management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FR-01 to FR-04; Sections 10-13</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Test / biomarker records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FR-05 to FR-08; Sections 10-11; 14</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Patient dashboard and history</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FR-09 to FR-11; Sections 12-13</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Trend visualization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FR-10; Section 13</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Basic report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FR-15; Section 12</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Backend/API/database validation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FR-07/08/17/18; Sections 14, 17-19, 21</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MRX CRP prototype</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FR-05/06/07/18; Sections 9, 14, 15</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Future biomarkers / modularity</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FR-07, FR-18; Sections 11, 15, 20, 24</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Future AI-assisted interpretation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Section 20; Phase 5 roadmap</w:t>
            </w:r>
          </w:p>
        </w:tc>
      </w:tr>
    </w:tbl>
    <w:p>
      <w:pPr>
        <w:spacing w:after="40"/>
      </w:pPr>
    </w:p>
    <w:p>
      <w:pPr>
        <w:pStyle w:val="Heading1"/>
        <w:keepNext/>
      </w:pPr>
      <w:r>
        <w:t>29.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spacing w:after="40"/>
            </w:pPr>
            <w:r/>
            <w:r>
              <w:rPr>
                <w:b/>
                <w:color w:val="FFFFFF"/>
                <w:sz w:val="17"/>
              </w:rPr>
              <w:t>Term</w:t>
            </w:r>
          </w:p>
        </w:tc>
        <w:tc>
          <w:tcPr>
            <w:tcW w:type="dxa" w:w="5040"/>
            <w:vAlign w:val="center"/>
            <w:shd w:fill="1F4E78"/>
          </w:tcPr>
          <w:p>
            <w:pPr>
              <w:spacing w:after="40"/>
            </w:pPr>
            <w:r/>
            <w:r>
              <w:rPr>
                <w:b/>
                <w:color w:val="FFFFFF"/>
                <w:sz w:val="17"/>
              </w:rPr>
              <w:t>Meaning in this document</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MRX</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MRX HealthTech / MRX Precision Biomarker Analyzer platform context supplied by the source material.</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TB</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Tuberculosis. In this product, TB-specific clinical workflows are subject to clinical validation.</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Biomarker</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 measurable biological parameter represented as a reusable definition plus time-stamped observations.</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Observation</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 recorded measurement or structured clinical value at a point in time.</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Case / Episode</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 disease-specific episode belonging to a patient and containing its own chronology.</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Encounter / Follow-up</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A dated interaction or monitoring event associated with a patient/case.</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Provenance</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Information describing where a data value came from and how it entered the system.</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Decision support</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Information or analysis intended to help a clinician review a case, not an autonomous decision.</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RBAC</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Role-Based Access Control.</w:t>
            </w:r>
          </w:p>
        </w:tc>
      </w:tr>
      <w:tr>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PRS / SRS</w:t>
            </w:r>
          </w:p>
        </w:tc>
        <w:tc>
          <w:tcPr>
            <w:tcW w:type="dxa" w:w="5040"/>
            <w:vAlign w:val="center"/>
            <w:tcBorders>
              <w:top w:val="single" w:sz="4" w:color="D9E2F3"/>
              <w:left w:val="single" w:sz="4" w:color="D9E2F3"/>
              <w:bottom w:val="single" w:sz="4" w:color="D9E2F3"/>
              <w:right w:val="single" w:sz="4" w:color="D9E2F3"/>
            </w:tcBorders>
          </w:tcPr>
          <w:p>
            <w:pPr>
              <w:spacing w:after="40"/>
            </w:pPr>
            <w:r/>
            <w:r>
              <w:rPr>
                <w:b w:val="0"/>
                <w:sz w:val="17"/>
              </w:rPr>
              <w:t>Product Requirements Specification / Software Requirements Specification.</w:t>
            </w:r>
          </w:p>
        </w:tc>
      </w:tr>
    </w:tbl>
    <w:p>
      <w:pPr>
        <w:spacing w:after="40"/>
      </w:pPr>
    </w:p>
    <w:p>
      <w:pPr>
        <w:pStyle w:val="Heading1"/>
        <w:keepNext/>
      </w:pPr>
      <w:r>
        <w:t>30. Source Notes</w:t>
      </w:r>
    </w:p>
    <w:p>
      <w:pPr>
        <w:spacing w:after="120"/>
      </w:pPr>
      <w:r>
        <w:t>1. MRX Precision Biomarker Analyzer - Brief Product Concept Note, 4 pages, supplied by the user. Source-derived topics include the current CRP MVP, patient management, Wi-Fi connectivity, web dashboard, automated report generation, local patient storage, future biomarkers, multiplex biosensor direction, AI roadmap and product vision.</w:t>
      </w:r>
    </w:p>
    <w:p>
      <w:pPr>
        <w:spacing w:after="120"/>
      </w:pPr>
      <w:r>
        <w:t>2. MRX HealthTech - Technical Evaluation Assignment, supplied as an image by the user. Source-derived topics include patient management, test/biomarker records, patient dashboard, trend visualization, basic report, backend/API/database requirements, validation, documentation and optional bonus features.</w:t>
      </w:r>
    </w:p>
    <w:tbl>
      <w:tblPr>
        <w:tblW w:type="auto" w:w="0"/>
        <w:jc w:val="center"/>
        <w:tblLook w:firstColumn="1" w:firstRow="1" w:lastColumn="0" w:lastRow="0" w:noHBand="0" w:noVBand="1" w:val="04A0"/>
      </w:tblPr>
      <w:tblGrid>
        <w:gridCol w:w="10080"/>
      </w:tblGrid>
      <w:tr>
        <w:tc>
          <w:tcPr>
            <w:tcW w:type="dxa" w:w="10080"/>
            <w:shd w:fill="FFF2CC"/>
          </w:tcPr>
          <w:p>
            <w:pPr>
              <w:spacing w:after="0"/>
            </w:pPr>
            <w:r/>
            <w:r>
              <w:rPr>
                <w:b/>
                <w:color w:val="1F4E79"/>
              </w:rPr>
              <w:t xml:space="preserve">Important: </w:t>
            </w:r>
            <w:r>
              <w:rPr>
                <w:sz w:val="18"/>
              </w:rPr>
              <w:t>This document intentionally does not invent a finalized TB clinical protocol. Before implementation of any medical logic, alerting, interpretation or treatment workflow, the requirements must be reviewed and approved by the relevant clinical and regulatory stakeholders.</w:t>
            </w:r>
          </w:p>
        </w:tc>
      </w:tr>
    </w:tbl>
    <w:p>
      <w:pPr>
        <w:spacing w:after="40"/>
      </w:pPr>
    </w:p>
    <w:p>
      <w:pPr>
        <w:pStyle w:val="Heading1"/>
        <w:keepNext/>
      </w:pPr>
      <w:r>
        <w:t>31. Definition of Done for Requirements Phase</w:t>
      </w:r>
    </w:p>
    <w:p>
      <w:pPr>
        <w:pStyle w:val="ListBullet"/>
        <w:spacing w:after="40"/>
      </w:pPr>
      <w:r>
        <w:t>Product owner approves the scope and intended users.</w:t>
      </w:r>
    </w:p>
    <w:p>
      <w:pPr>
        <w:pStyle w:val="ListBullet"/>
        <w:spacing w:after="40"/>
      </w:pPr>
      <w:r>
        <w:t>Clinical lead approves the TB data dictionary and clinical workflow.</w:t>
      </w:r>
    </w:p>
    <w:p>
      <w:pPr>
        <w:pStyle w:val="ListBullet"/>
        <w:spacing w:after="40"/>
      </w:pPr>
      <w:r>
        <w:t>Engineering approves architecture, database model and integration strategy.</w:t>
      </w:r>
    </w:p>
    <w:p>
      <w:pPr>
        <w:pStyle w:val="ListBullet"/>
        <w:spacing w:after="40"/>
      </w:pPr>
      <w:r>
        <w:t>Security/privacy review approves the threat model and data-handling baseline.</w:t>
      </w:r>
    </w:p>
    <w:p>
      <w:pPr>
        <w:pStyle w:val="ListBullet"/>
        <w:spacing w:after="40"/>
      </w:pPr>
      <w:r>
        <w:t>QA converts the requirements into traceable test cases.</w:t>
      </w:r>
    </w:p>
    <w:p>
      <w:pPr>
        <w:pStyle w:val="ListBullet"/>
        <w:spacing w:after="40"/>
      </w:pPr>
      <w:r>
        <w:t>Regulatory/quality stakeholders define the required product-development controls for the target deployment.</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working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MRX HealthTech | TB Patient Monitoring Platform | Product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59595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MRX TB Patient Monitoring Platform - Product Requirements Specification</dc:title>
  <dc:subject>Production-oriented requirements baseline</dc:subject>
  <dc:creator>OpenAI</dc:creator>
  <cp:keywords>MRX, TB, tuberculosis, patient monitoring, biomarker, product requirements, software requirements</cp:keywords>
  <dc:description>Draft generated from user-supplied MRX concept note and Technical Evaluation Assignment.</dc:description>
  <cp:lastModifiedBy/>
  <cp:revision>1</cp:revision>
  <dcterms:created xsi:type="dcterms:W3CDTF">2013-12-23T23:15:00Z</dcterms:created>
  <dcterms:modified xsi:type="dcterms:W3CDTF">2013-12-23T23:15:00Z</dcterms:modified>
  <cp:category/>
</cp:coreProperties>
</file>