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25D" w:rsidRDefault="0001225D">
      <w:r>
        <w:t>Login to multiplicity (password: April2017!</w:t>
      </w:r>
      <w:r w:rsidR="00494B83">
        <w:t xml:space="preserve">). Ask </w:t>
      </w:r>
      <w:r w:rsidR="00375932">
        <w:t>Op team that I need to use it.</w:t>
      </w:r>
    </w:p>
    <w:p w:rsidR="001E7360" w:rsidRDefault="00A05874">
      <w:r>
        <w:t>Bloomberg</w:t>
      </w:r>
    </w:p>
    <w:p w:rsidR="00A05874" w:rsidRDefault="00A05874">
      <w:r>
        <w:t>Advanced search</w:t>
      </w:r>
      <w:r w:rsidR="00A5391B">
        <w:t xml:space="preserve"> for below criteria for the M&amp;A deals in </w:t>
      </w:r>
      <w:r w:rsidR="00681F0E">
        <w:t xml:space="preserve">the </w:t>
      </w:r>
      <w:r w:rsidR="00A5391B">
        <w:t>America</w:t>
      </w:r>
      <w:r w:rsidR="00681F0E">
        <w:t xml:space="preserve">. </w:t>
      </w:r>
      <w:r w:rsidR="00806A3F">
        <w:t xml:space="preserve"> </w:t>
      </w:r>
    </w:p>
    <w:p w:rsidR="00A05874" w:rsidRDefault="00A05874">
      <w:r>
        <w:rPr>
          <w:noProof/>
        </w:rPr>
        <w:drawing>
          <wp:inline distT="0" distB="0" distL="0" distR="0" wp14:anchorId="76D2F002" wp14:editId="0234DA43">
            <wp:extent cx="5943600" cy="4196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41F" w:rsidRDefault="00AD341F"/>
    <w:p w:rsidR="00AD341F" w:rsidRDefault="00AD341F"/>
    <w:p w:rsidR="00AD341F" w:rsidRDefault="00AD341F"/>
    <w:p w:rsidR="00B330ED" w:rsidRDefault="00493E10">
      <w:r>
        <w:t>Filter for columns</w:t>
      </w:r>
    </w:p>
    <w:p w:rsidR="00B330ED" w:rsidRDefault="00B330ED">
      <w:r>
        <w:rPr>
          <w:noProof/>
        </w:rPr>
        <w:lastRenderedPageBreak/>
        <w:drawing>
          <wp:inline distT="0" distB="0" distL="0" distR="0" wp14:anchorId="2A0F2345" wp14:editId="24E91AFD">
            <wp:extent cx="5943600" cy="3871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21A" w:rsidRDefault="0080221A"/>
    <w:p w:rsidR="00DF03CD" w:rsidRDefault="00DF03CD">
      <w:hyperlink r:id="rId8" w:history="1">
        <w:r w:rsidRPr="008D4124">
          <w:rPr>
            <w:rStyle w:val="Hyperlink"/>
          </w:rPr>
          <w:t>https://www.kansascityfed.org/aSTZe/publicat/econrev/PDF/4q00shen.pdf</w:t>
        </w:r>
      </w:hyperlink>
    </w:p>
    <w:p w:rsidR="0080221A" w:rsidRDefault="0080221A"/>
    <w:p w:rsidR="00AB1952" w:rsidRDefault="00AB1952"/>
    <w:p w:rsidR="00AB1952" w:rsidRDefault="00AB1952"/>
    <w:p w:rsidR="00AB1952" w:rsidRDefault="00AB1952"/>
    <w:p w:rsidR="00AB1952" w:rsidRDefault="00AB1952"/>
    <w:p w:rsidR="00AB1952" w:rsidRDefault="00AB1952"/>
    <w:p w:rsidR="00AB1952" w:rsidRDefault="00AB1952"/>
    <w:p w:rsidR="00AB1952" w:rsidRDefault="00AB1952"/>
    <w:p w:rsidR="00AB1952" w:rsidRDefault="00AB1952"/>
    <w:p w:rsidR="00AB1952" w:rsidRDefault="00AB1952"/>
    <w:p w:rsidR="00AB1952" w:rsidRDefault="00AB1952"/>
    <w:p w:rsidR="00AB1952" w:rsidRDefault="00AB1952"/>
    <w:p w:rsidR="00AB1952" w:rsidRDefault="00AB1952"/>
    <w:p w:rsidR="0080221A" w:rsidRDefault="001C2937" w:rsidP="001C2937">
      <w:pPr>
        <w:pStyle w:val="ListParagraph"/>
        <w:numPr>
          <w:ilvl w:val="0"/>
          <w:numId w:val="1"/>
        </w:numPr>
      </w:pPr>
      <w:r>
        <w:lastRenderedPageBreak/>
        <w:t xml:space="preserve">Loaded the </w:t>
      </w:r>
      <w:r w:rsidR="0034382C">
        <w:t>MA deals</w:t>
      </w:r>
      <w:r w:rsidR="00B64960">
        <w:t xml:space="preserve"> (about 1990) dated 1/1/2010 to 12/12/2017.</w:t>
      </w:r>
    </w:p>
    <w:p w:rsidR="00B64960" w:rsidRDefault="00B64960" w:rsidP="001C2937">
      <w:pPr>
        <w:pStyle w:val="ListParagraph"/>
        <w:numPr>
          <w:ilvl w:val="0"/>
          <w:numId w:val="1"/>
        </w:numPr>
      </w:pPr>
      <w:r>
        <w:t>The duration for completed</w:t>
      </w:r>
      <w:r w:rsidR="00950F49">
        <w:t xml:space="preserve"> </w:t>
      </w:r>
      <w:r w:rsidR="00424874">
        <w:t xml:space="preserve">deals is 148 days and </w:t>
      </w:r>
      <w:r w:rsidR="002D3D05">
        <w:t>for terminated deals is 136 days.</w:t>
      </w:r>
    </w:p>
    <w:p w:rsidR="00736AF2" w:rsidRDefault="00931966" w:rsidP="001C2937">
      <w:pPr>
        <w:pStyle w:val="ListParagraph"/>
        <w:numPr>
          <w:ilvl w:val="0"/>
          <w:numId w:val="1"/>
        </w:numPr>
      </w:pPr>
      <w:r>
        <w:t>Pulled the EPS data</w:t>
      </w:r>
      <w:r w:rsidR="00455436">
        <w:t xml:space="preserve"> for each ticker.</w:t>
      </w:r>
      <w:r w:rsidR="00A84DC3">
        <w:t xml:space="preserve"> Four of the MA deals have missing tickers, </w:t>
      </w:r>
      <w:r w:rsidR="00703579">
        <w:t>thus are ignored in the process.</w:t>
      </w:r>
    </w:p>
    <w:p w:rsidR="00455436" w:rsidRDefault="00E64109" w:rsidP="001C2937">
      <w:pPr>
        <w:pStyle w:val="ListParagraph"/>
        <w:numPr>
          <w:ilvl w:val="0"/>
          <w:numId w:val="1"/>
        </w:numPr>
      </w:pPr>
      <w:r>
        <w:t xml:space="preserve">Take differences between the </w:t>
      </w:r>
      <w:r w:rsidR="00A51B1A">
        <w:t>actual EPS and the Estimate EPS</w:t>
      </w:r>
      <w:r w:rsidR="00607685">
        <w:t xml:space="preserve">. </w:t>
      </w:r>
      <w:proofErr w:type="spellStart"/>
      <w:r w:rsidR="00112E7E">
        <w:t>NaN</w:t>
      </w:r>
      <w:proofErr w:type="spellEnd"/>
      <w:r w:rsidR="00112E7E">
        <w:t xml:space="preserve"> are ignored.</w:t>
      </w:r>
    </w:p>
    <w:p w:rsidR="00244FDB" w:rsidRDefault="003C417C" w:rsidP="001C2937">
      <w:pPr>
        <w:pStyle w:val="ListParagraph"/>
        <w:numPr>
          <w:ilvl w:val="0"/>
          <w:numId w:val="1"/>
        </w:numPr>
      </w:pPr>
      <w:r>
        <w:t xml:space="preserve">Some target companies </w:t>
      </w:r>
      <w:r w:rsidR="001D632D">
        <w:t xml:space="preserve">have multiple deals throughout the years. </w:t>
      </w:r>
    </w:p>
    <w:p w:rsidR="00092F20" w:rsidRDefault="008C65CB" w:rsidP="001C2937">
      <w:pPr>
        <w:pStyle w:val="ListParagraph"/>
        <w:numPr>
          <w:ilvl w:val="0"/>
          <w:numId w:val="1"/>
        </w:numPr>
      </w:pPr>
      <w:r>
        <w:t xml:space="preserve">Pulled the price data that fall between the announcement date and completion date. </w:t>
      </w:r>
    </w:p>
    <w:p w:rsidR="00CC3C64" w:rsidRDefault="00CC3C64" w:rsidP="001C2937">
      <w:pPr>
        <w:pStyle w:val="ListParagraph"/>
        <w:numPr>
          <w:ilvl w:val="0"/>
          <w:numId w:val="1"/>
        </w:numPr>
      </w:pPr>
      <w:r>
        <w:t xml:space="preserve">Calculated </w:t>
      </w:r>
      <w:r w:rsidR="007C3887">
        <w:t>the return</w:t>
      </w:r>
      <w:r w:rsidR="00F9767D">
        <w:t xml:space="preserve">s around the earnings </w:t>
      </w:r>
      <w:r w:rsidR="00602839">
        <w:t>reaction day.</w:t>
      </w:r>
      <w:r w:rsidR="00333478">
        <w:t xml:space="preserve"> The earnings </w:t>
      </w:r>
      <w:r w:rsidR="00590D00">
        <w:t xml:space="preserve">reaction day </w:t>
      </w:r>
      <w:r w:rsidR="00B14ACE">
        <w:t xml:space="preserve">is the trading day following the stock’s quarterly report. </w:t>
      </w:r>
      <w:r w:rsidR="00972106">
        <w:t xml:space="preserve">It has to </w:t>
      </w:r>
      <w:r w:rsidR="000E7514">
        <w:t>do with the timing of the earnings announcement</w:t>
      </w:r>
      <w:r w:rsidR="002D06BC">
        <w:t xml:space="preserve">. </w:t>
      </w:r>
    </w:p>
    <w:p w:rsidR="00B36A99" w:rsidRDefault="000B6068" w:rsidP="0018318E">
      <w:pPr>
        <w:pStyle w:val="ListParagraph"/>
        <w:numPr>
          <w:ilvl w:val="0"/>
          <w:numId w:val="1"/>
        </w:numPr>
      </w:pPr>
      <w:r>
        <w:t xml:space="preserve">Joined the EPS with </w:t>
      </w:r>
      <w:r w:rsidR="00EE3254">
        <w:t xml:space="preserve">the </w:t>
      </w:r>
      <w:r>
        <w:t>price return</w:t>
      </w:r>
      <w:r w:rsidR="00EE3254">
        <w:t xml:space="preserve"> for</w:t>
      </w:r>
      <w:r w:rsidR="00E41BDF">
        <w:t xml:space="preserve"> all deals.</w:t>
      </w:r>
      <w:r w:rsidR="00701792">
        <w:t xml:space="preserve"> </w:t>
      </w:r>
      <w:r w:rsidR="00537096">
        <w:t xml:space="preserve">462 of the M&amp;A deals have no earnings reported </w:t>
      </w:r>
      <w:r w:rsidR="00854CFC">
        <w:t xml:space="preserve">during </w:t>
      </w:r>
      <w:r w:rsidR="00C41485">
        <w:t xml:space="preserve">the deal period. </w:t>
      </w:r>
      <w:r w:rsidR="003154A0">
        <w:t xml:space="preserve">Only three-quarters of the </w:t>
      </w:r>
      <w:r w:rsidR="00D030EC">
        <w:t xml:space="preserve">M&amp;A deals are used. </w:t>
      </w:r>
      <w:r w:rsidR="003154A0">
        <w:t xml:space="preserve"> </w:t>
      </w:r>
    </w:p>
    <w:p w:rsidR="009964AA" w:rsidRDefault="00C82915" w:rsidP="006467C9">
      <w:pPr>
        <w:pStyle w:val="ListParagraph"/>
        <w:numPr>
          <w:ilvl w:val="0"/>
          <w:numId w:val="1"/>
        </w:numPr>
      </w:pPr>
      <w:r>
        <w:t xml:space="preserve">Plot the </w:t>
      </w:r>
      <w:r w:rsidR="006467C9">
        <w:t xml:space="preserve">XY plot </w:t>
      </w:r>
      <w:r w:rsidR="006467C9">
        <w:t>of</w:t>
      </w:r>
      <w:r w:rsidR="005D68A5">
        <w:t xml:space="preserve"> earnings surprise</w:t>
      </w:r>
      <w:r w:rsidR="002F07C6">
        <w:t xml:space="preserve"> against </w:t>
      </w:r>
      <w:r w:rsidR="00AD0488">
        <w:t xml:space="preserve">returns </w:t>
      </w:r>
      <w:r w:rsidR="00200B65">
        <w:t xml:space="preserve">and </w:t>
      </w:r>
      <w:r w:rsidR="0008343F">
        <w:t>calculated the correlation between the two.</w:t>
      </w:r>
      <w:r w:rsidR="00D107EA">
        <w:t xml:space="preserve"> The overall correlation </w:t>
      </w:r>
      <w:r w:rsidR="00D24706">
        <w:t xml:space="preserve">between the two variables </w:t>
      </w:r>
      <w:r w:rsidR="00D107EA">
        <w:t xml:space="preserve">for all the M&amp;A deals </w:t>
      </w:r>
      <w:r w:rsidR="00AE29DE">
        <w:t>is 0.139</w:t>
      </w:r>
      <w:r w:rsidR="00EC6544">
        <w:t>.</w:t>
      </w:r>
    </w:p>
    <w:p w:rsidR="00B85C1E" w:rsidRDefault="00394699" w:rsidP="006467C9">
      <w:pPr>
        <w:pStyle w:val="ListParagraph"/>
        <w:numPr>
          <w:ilvl w:val="0"/>
          <w:numId w:val="1"/>
        </w:numPr>
      </w:pPr>
      <w:r>
        <w:t>For NASDAQ</w:t>
      </w:r>
      <w:r w:rsidR="00106DD2">
        <w:t>/AMEX</w:t>
      </w:r>
      <w:r>
        <w:t xml:space="preserve"> stocks, same exercise is </w:t>
      </w:r>
      <w:r w:rsidR="00F009BA">
        <w:t>performed,</w:t>
      </w:r>
      <w:r>
        <w:t xml:space="preserve"> and </w:t>
      </w:r>
      <w:r w:rsidR="00C90CDE">
        <w:t xml:space="preserve">the </w:t>
      </w:r>
      <w:r>
        <w:t>correlation</w:t>
      </w:r>
      <w:r w:rsidR="00674596">
        <w:t>s are</w:t>
      </w:r>
      <w:r w:rsidR="00C90CDE">
        <w:t xml:space="preserve"> </w:t>
      </w:r>
      <w:r>
        <w:t>0.272</w:t>
      </w:r>
      <w:r w:rsidR="00410792">
        <w:t xml:space="preserve"> </w:t>
      </w:r>
      <w:r w:rsidR="00674596">
        <w:t xml:space="preserve">and </w:t>
      </w:r>
      <w:r w:rsidR="00114B1F">
        <w:t>0.178</w:t>
      </w:r>
      <w:r w:rsidR="00A11B3C">
        <w:t xml:space="preserve">, respectively. </w:t>
      </w:r>
      <w:r w:rsidR="006325DE">
        <w:t xml:space="preserve">Using earnings surprise </w:t>
      </w:r>
      <w:r w:rsidR="005D68A5">
        <w:t xml:space="preserve">percentage </w:t>
      </w:r>
      <w:r w:rsidR="00A81737">
        <w:t>got similar result.</w:t>
      </w:r>
      <w:r w:rsidR="001F0BAC">
        <w:t xml:space="preserve"> </w:t>
      </w:r>
      <w:bookmarkStart w:id="0" w:name="_GoBack"/>
      <w:bookmarkEnd w:id="0"/>
    </w:p>
    <w:p w:rsidR="00A30044" w:rsidRDefault="00A30044" w:rsidP="00A30044"/>
    <w:p w:rsidR="00A30044" w:rsidRDefault="00A30044" w:rsidP="00A30044">
      <w:r>
        <w:t>M&amp;A</w:t>
      </w:r>
    </w:p>
    <w:p w:rsidR="00A30044" w:rsidRDefault="00A30044" w:rsidP="00A30044">
      <w:r>
        <w:rPr>
          <w:noProof/>
        </w:rPr>
        <w:drawing>
          <wp:inline distT="0" distB="0" distL="0" distR="0" wp14:anchorId="6BC43FC1" wp14:editId="30172914">
            <wp:extent cx="3848100" cy="3600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8ED" w:rsidRDefault="008F38ED" w:rsidP="00A30044">
      <w:r>
        <w:t>NASDAQ</w:t>
      </w:r>
    </w:p>
    <w:p w:rsidR="008F38ED" w:rsidRDefault="008F38ED" w:rsidP="00A30044">
      <w:r>
        <w:rPr>
          <w:noProof/>
        </w:rPr>
        <w:lastRenderedPageBreak/>
        <w:drawing>
          <wp:inline distT="0" distB="0" distL="0" distR="0" wp14:anchorId="23C3EEA9" wp14:editId="6E7C10FF">
            <wp:extent cx="3695700" cy="3695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DDB" w:rsidRDefault="00A45DDB" w:rsidP="00A30044">
      <w:r>
        <w:t>AMEX</w:t>
      </w:r>
    </w:p>
    <w:p w:rsidR="00A45DDB" w:rsidRDefault="00A45DDB" w:rsidP="00A30044">
      <w:r>
        <w:rPr>
          <w:noProof/>
        </w:rPr>
        <w:drawing>
          <wp:inline distT="0" distB="0" distL="0" distR="0" wp14:anchorId="7D545CB9" wp14:editId="574F6146">
            <wp:extent cx="3676650" cy="3619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120" w:rsidRDefault="00B04120" w:rsidP="00A30044"/>
    <w:p w:rsidR="00B04120" w:rsidRDefault="00B04120" w:rsidP="00A30044">
      <w:r w:rsidRPr="00B04120">
        <w:rPr>
          <w:noProof/>
        </w:rPr>
        <w:lastRenderedPageBreak/>
        <w:drawing>
          <wp:inline distT="0" distB="0" distL="0" distR="0">
            <wp:extent cx="4920008" cy="2552700"/>
            <wp:effectExtent l="0" t="0" r="0" b="0"/>
            <wp:docPr id="6" name="Picture 6" descr="C:\Users\kcheng\PycharmProjects\ma_deal_eps\saupload_avgvolbys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cheng\PycharmProjects\ma_deal_eps\saupload_avgvolbysecto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265" cy="255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4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A07CF5"/>
    <w:multiLevelType w:val="hybridMultilevel"/>
    <w:tmpl w:val="BFE89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74"/>
    <w:rsid w:val="0001225D"/>
    <w:rsid w:val="000323B9"/>
    <w:rsid w:val="00042D0B"/>
    <w:rsid w:val="00052141"/>
    <w:rsid w:val="0006061E"/>
    <w:rsid w:val="000676D8"/>
    <w:rsid w:val="00073570"/>
    <w:rsid w:val="00081175"/>
    <w:rsid w:val="0008343F"/>
    <w:rsid w:val="0008376E"/>
    <w:rsid w:val="00092F20"/>
    <w:rsid w:val="000B3DF7"/>
    <w:rsid w:val="000B6068"/>
    <w:rsid w:val="000C0556"/>
    <w:rsid w:val="000E7514"/>
    <w:rsid w:val="00106DD2"/>
    <w:rsid w:val="00112E7E"/>
    <w:rsid w:val="00114B1F"/>
    <w:rsid w:val="001278E9"/>
    <w:rsid w:val="00154581"/>
    <w:rsid w:val="00192D7A"/>
    <w:rsid w:val="001B46CE"/>
    <w:rsid w:val="001C2937"/>
    <w:rsid w:val="001C56EE"/>
    <w:rsid w:val="001D57FC"/>
    <w:rsid w:val="001D632D"/>
    <w:rsid w:val="001F0BAC"/>
    <w:rsid w:val="001F517A"/>
    <w:rsid w:val="00200B65"/>
    <w:rsid w:val="00244FDB"/>
    <w:rsid w:val="002503CC"/>
    <w:rsid w:val="0028324D"/>
    <w:rsid w:val="00293BCE"/>
    <w:rsid w:val="002A3B01"/>
    <w:rsid w:val="002A5A8F"/>
    <w:rsid w:val="002A653A"/>
    <w:rsid w:val="002B539D"/>
    <w:rsid w:val="002D06BC"/>
    <w:rsid w:val="002D3D05"/>
    <w:rsid w:val="002F07C6"/>
    <w:rsid w:val="00312D08"/>
    <w:rsid w:val="003154A0"/>
    <w:rsid w:val="00333478"/>
    <w:rsid w:val="0034382C"/>
    <w:rsid w:val="0036560F"/>
    <w:rsid w:val="00375932"/>
    <w:rsid w:val="00394699"/>
    <w:rsid w:val="003B21A1"/>
    <w:rsid w:val="003C417C"/>
    <w:rsid w:val="003F6514"/>
    <w:rsid w:val="00410792"/>
    <w:rsid w:val="00424874"/>
    <w:rsid w:val="00455436"/>
    <w:rsid w:val="00465E15"/>
    <w:rsid w:val="00470B14"/>
    <w:rsid w:val="00470BB3"/>
    <w:rsid w:val="0047494A"/>
    <w:rsid w:val="00480822"/>
    <w:rsid w:val="004924C5"/>
    <w:rsid w:val="0049378C"/>
    <w:rsid w:val="00493E10"/>
    <w:rsid w:val="00494B83"/>
    <w:rsid w:val="004B0751"/>
    <w:rsid w:val="004C325E"/>
    <w:rsid w:val="004D458C"/>
    <w:rsid w:val="00537096"/>
    <w:rsid w:val="00540F00"/>
    <w:rsid w:val="0056140E"/>
    <w:rsid w:val="005630F3"/>
    <w:rsid w:val="00590D00"/>
    <w:rsid w:val="005B38CF"/>
    <w:rsid w:val="005C29C0"/>
    <w:rsid w:val="005D68A5"/>
    <w:rsid w:val="00602839"/>
    <w:rsid w:val="00607685"/>
    <w:rsid w:val="006325DE"/>
    <w:rsid w:val="00636F8C"/>
    <w:rsid w:val="006467C9"/>
    <w:rsid w:val="00650126"/>
    <w:rsid w:val="00674596"/>
    <w:rsid w:val="00681F0E"/>
    <w:rsid w:val="00691CE4"/>
    <w:rsid w:val="006941EC"/>
    <w:rsid w:val="00696AF1"/>
    <w:rsid w:val="00696F42"/>
    <w:rsid w:val="006C25A1"/>
    <w:rsid w:val="006E3B76"/>
    <w:rsid w:val="00700368"/>
    <w:rsid w:val="00701792"/>
    <w:rsid w:val="00703579"/>
    <w:rsid w:val="00706430"/>
    <w:rsid w:val="00736AF2"/>
    <w:rsid w:val="00745BFA"/>
    <w:rsid w:val="00750DF3"/>
    <w:rsid w:val="00776ADA"/>
    <w:rsid w:val="0079536B"/>
    <w:rsid w:val="007C33C0"/>
    <w:rsid w:val="007C3887"/>
    <w:rsid w:val="007E6339"/>
    <w:rsid w:val="007E6BDA"/>
    <w:rsid w:val="0080221A"/>
    <w:rsid w:val="00806A3F"/>
    <w:rsid w:val="0082254A"/>
    <w:rsid w:val="00854CFC"/>
    <w:rsid w:val="008C2D27"/>
    <w:rsid w:val="008C65CB"/>
    <w:rsid w:val="008F38ED"/>
    <w:rsid w:val="00925F12"/>
    <w:rsid w:val="00931966"/>
    <w:rsid w:val="00950F49"/>
    <w:rsid w:val="00972106"/>
    <w:rsid w:val="009964AA"/>
    <w:rsid w:val="009A29EB"/>
    <w:rsid w:val="009B2F7B"/>
    <w:rsid w:val="009C2500"/>
    <w:rsid w:val="009D6409"/>
    <w:rsid w:val="009F00D3"/>
    <w:rsid w:val="00A01FF5"/>
    <w:rsid w:val="00A05874"/>
    <w:rsid w:val="00A11B3C"/>
    <w:rsid w:val="00A30044"/>
    <w:rsid w:val="00A412B5"/>
    <w:rsid w:val="00A4413A"/>
    <w:rsid w:val="00A45DDB"/>
    <w:rsid w:val="00A51B1A"/>
    <w:rsid w:val="00A5391B"/>
    <w:rsid w:val="00A60F2B"/>
    <w:rsid w:val="00A81737"/>
    <w:rsid w:val="00A84DC3"/>
    <w:rsid w:val="00A90097"/>
    <w:rsid w:val="00A90D34"/>
    <w:rsid w:val="00AB1952"/>
    <w:rsid w:val="00AD0488"/>
    <w:rsid w:val="00AD341F"/>
    <w:rsid w:val="00AD484D"/>
    <w:rsid w:val="00AE29DE"/>
    <w:rsid w:val="00AF3667"/>
    <w:rsid w:val="00B04120"/>
    <w:rsid w:val="00B114DA"/>
    <w:rsid w:val="00B14ACE"/>
    <w:rsid w:val="00B330ED"/>
    <w:rsid w:val="00B36A99"/>
    <w:rsid w:val="00B51F03"/>
    <w:rsid w:val="00B64960"/>
    <w:rsid w:val="00B80CEF"/>
    <w:rsid w:val="00B8349D"/>
    <w:rsid w:val="00B85C1E"/>
    <w:rsid w:val="00BA0C0D"/>
    <w:rsid w:val="00BA2D9A"/>
    <w:rsid w:val="00BB4B14"/>
    <w:rsid w:val="00BC7B4A"/>
    <w:rsid w:val="00C377F4"/>
    <w:rsid w:val="00C41485"/>
    <w:rsid w:val="00C41E35"/>
    <w:rsid w:val="00C7326D"/>
    <w:rsid w:val="00C82915"/>
    <w:rsid w:val="00C851E9"/>
    <w:rsid w:val="00C90CDE"/>
    <w:rsid w:val="00C90DDB"/>
    <w:rsid w:val="00CA7B43"/>
    <w:rsid w:val="00CC3C64"/>
    <w:rsid w:val="00CD0A14"/>
    <w:rsid w:val="00D030EC"/>
    <w:rsid w:val="00D107EA"/>
    <w:rsid w:val="00D2123B"/>
    <w:rsid w:val="00D24619"/>
    <w:rsid w:val="00D24706"/>
    <w:rsid w:val="00D24BE6"/>
    <w:rsid w:val="00D82DD1"/>
    <w:rsid w:val="00DA5DFD"/>
    <w:rsid w:val="00DB1EF6"/>
    <w:rsid w:val="00DF03CD"/>
    <w:rsid w:val="00E41BDF"/>
    <w:rsid w:val="00E63BD5"/>
    <w:rsid w:val="00E64109"/>
    <w:rsid w:val="00E66DE0"/>
    <w:rsid w:val="00E75E5D"/>
    <w:rsid w:val="00E76693"/>
    <w:rsid w:val="00EA0B3E"/>
    <w:rsid w:val="00EC6544"/>
    <w:rsid w:val="00EE27A0"/>
    <w:rsid w:val="00EE3254"/>
    <w:rsid w:val="00F009BA"/>
    <w:rsid w:val="00F02495"/>
    <w:rsid w:val="00F117C3"/>
    <w:rsid w:val="00F4341D"/>
    <w:rsid w:val="00F509B6"/>
    <w:rsid w:val="00F5222A"/>
    <w:rsid w:val="00F646BC"/>
    <w:rsid w:val="00F8722E"/>
    <w:rsid w:val="00F9767D"/>
    <w:rsid w:val="00FF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0623C"/>
  <w15:chartTrackingRefBased/>
  <w15:docId w15:val="{CC85E86E-6528-40EC-9809-4DA7636A9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9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03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03C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7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nsascityfed.org/aSTZe/publicat/econrev/PDF/4q00shen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D3B61-9649-42BB-8772-3FD1C8F58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3692</TotalTime>
  <Pages>5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Cheng</dc:creator>
  <cp:keywords/>
  <dc:description/>
  <cp:lastModifiedBy>Kelvin Cheng</cp:lastModifiedBy>
  <cp:revision>118</cp:revision>
  <dcterms:created xsi:type="dcterms:W3CDTF">2017-12-20T21:41:00Z</dcterms:created>
  <dcterms:modified xsi:type="dcterms:W3CDTF">2017-12-29T15:33:00Z</dcterms:modified>
</cp:coreProperties>
</file>