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bidi/>
        <w:jc w:val="center"/>
      </w:pPr>
      <w:r>
        <w:rPr>
          <w:rFonts w:ascii="Noto Sans Arabic" w:hAnsi="Noto Sans Arabic" w:cs="Noto Sans Arabic"/>
          <w:b/>
          <w:color w:val="132A45"/>
          <w:sz w:val="68"/>
          <w:rtl/>
        </w:rPr>
        <w:t>LEGALIR</w:t>
      </w:r>
    </w:p>
    <w:p>
      <w:pPr>
        <w:bidi/>
        <w:jc w:val="center"/>
      </w:pPr>
      <w:r>
        <w:rPr>
          <w:rFonts w:ascii="Noto Sans Arabic" w:hAnsi="Noto Sans Arabic" w:cs="Noto Sans Arabic"/>
          <w:b/>
          <w:color w:val="19A7A0"/>
          <w:sz w:val="46"/>
          <w:rtl/>
        </w:rPr>
        <w:t>سند چشم‌انداز محصول</w:t>
      </w:r>
    </w:p>
    <w:p>
      <w:pPr>
        <w:bidi/>
        <w:spacing w:before="160"/>
        <w:jc w:val="center"/>
      </w:pPr>
      <w:r>
        <w:rPr>
          <w:rFonts w:ascii="Noto Sans Arabic" w:hAnsi="Noto Sans Arabic" w:cs="Noto Sans Arabic"/>
          <w:b w:val="0"/>
          <w:color w:val="5B6B7A"/>
          <w:sz w:val="26"/>
          <w:rtl/>
        </w:rPr>
        <w:t>Product Vision Document</w:t>
      </w:r>
    </w:p>
    <w:p>
      <w:pPr>
        <w:jc w:val="right"/>
        <w:bidi/>
      </w:pPr>
      <w:r>
        <w:rPr>
          <w:rFonts w:ascii="Noto Sans Arabic" w:hAnsi="Noto Sans Arabic" w:cs="Noto Sans Arabic"/>
          <w:b w:val="0"/>
          <w:color w:val="19A7A0"/>
          <w:sz w:val="28"/>
          <w:rtl/>
        </w:rPr>
        <w:t>━━━━━━━━━━━━━━━━━━━━━━━━━━━━</w:t>
      </w:r>
    </w:p>
    <w:p>
      <w:pPr>
        <w:bidi/>
        <w:spacing w:before="360"/>
        <w:jc w:val="center"/>
      </w:pPr>
      <w:r>
        <w:rPr>
          <w:rFonts w:ascii="Noto Sans Arabic" w:hAnsi="Noto Sans Arabic" w:cs="Noto Sans Arabic"/>
          <w:b/>
          <w:color w:val="243B53"/>
          <w:sz w:val="28"/>
          <w:rtl/>
        </w:rPr>
        <w:t>پلتفرم حقوقی دیجیتال مبتنی بر هوش مصنوعی برای بازار ایران</w:t>
      </w:r>
    </w:p>
    <w:p>
      <w:pPr>
        <w:bidi/>
        <w:spacing w:before="1000"/>
        <w:jc w:val="center"/>
      </w:pPr>
      <w:r>
        <w:rPr>
          <w:rFonts w:ascii="Noto Sans Arabic" w:hAnsi="Noto Sans Arabic" w:cs="Noto Sans Arabic"/>
          <w:b/>
          <w:color w:val="132A45"/>
          <w:sz w:val="22"/>
          <w:rtl/>
        </w:rPr>
        <w:t>نسخه ۱.۰</w:t>
      </w:r>
      <w:r>
        <w:rPr>
          <w:rFonts w:ascii="Noto Sans Arabic" w:hAnsi="Noto Sans Arabic" w:cs="Noto Sans Arabic"/>
          <w:b w:val="0"/>
          <w:color w:val="5B6B7A"/>
          <w:sz w:val="22"/>
          <w:rtl/>
        </w:rPr>
        <w:t xml:space="preserve">  |  مرداد ۱۴۰۵</w:t>
      </w:r>
    </w:p>
    <w:p>
      <w:pPr>
        <w:bidi/>
        <w:spacing w:before="240"/>
        <w:jc w:val="center"/>
      </w:pPr>
      <w:r>
        <w:rPr>
          <w:rFonts w:ascii="Noto Sans Arabic" w:hAnsi="Noto Sans Arabic" w:cs="Noto Sans Arabic"/>
          <w:b w:val="0"/>
          <w:color w:val="7A4E00"/>
          <w:sz w:val="19"/>
          <w:rtl/>
        </w:rPr>
        <w:t>وضعیت سند: مبنای طراحی محصول و نیازمند تأیید حقوقی پیش از عرضه عمومی</w:t>
      </w:r>
    </w:p>
    <w:p>
      <w:pPr>
        <w:spacing w:before="1500"/>
        <w:bidi/>
        <w:jc w:val="center"/>
      </w:pPr>
      <w:r>
        <w:rPr>
          <w:rFonts w:ascii="Noto Sans Arabic" w:hAnsi="Noto Sans Arabic" w:cs="Noto Sans Arabic"/>
          <w:b/>
          <w:color w:val="7B8794"/>
          <w:sz w:val="18"/>
          <w:rtl/>
        </w:rPr>
        <w:t>محرمانه - ویژه تیم محصول، حقوقی، طراحی و فنی</w:t>
      </w:r>
    </w:p>
    <w:p>
      <w:r>
        <w:br w:type="page"/>
      </w:r>
    </w:p>
    <w:p>
      <w:pPr>
        <w:keepNext/>
        <w:bidi/>
        <w:spacing w:before="240" w:after="100"/>
        <w:jc w:val="right"/>
        <w:pBdr>
          <w:bottom w:val="single" w:sz="10" w:space="4" w:color="19A7A0"/>
        </w:pBdr>
      </w:pPr>
      <w:r>
        <w:rPr>
          <w:rFonts w:ascii="Noto Sans Arabic" w:hAnsi="Noto Sans Arabic" w:cs="Noto Sans Arabic"/>
          <w:b/>
          <w:color w:val="132A45"/>
          <w:sz w:val="34"/>
          <w:rtl/>
        </w:rPr>
        <w:t>کنترل سند</w:t>
      </w:r>
    </w:p>
    <w:tbl>
      <w:tblPr>
        <w:tblStyle w:val="TableGrid"/>
        <w:tblW w:type="auto" w:w="0"/>
        <w:jc w:val="center"/>
        <w:tblLayout w:type="autofit"/>
        <w:tblLook w:firstColumn="1" w:firstRow="1" w:lastColumn="0" w:lastRow="0" w:noHBand="0" w:noVBand="1" w:val="04A0"/>
      </w:tblPr>
      <w:tblGrid>
        <w:gridCol w:w="4933"/>
        <w:gridCol w:w="4933"/>
      </w:tblGrid>
      <w:tr>
        <w:trPr>
          <w:tblHeader w:val="true"/>
          <w:cantSplit/>
        </w:trPr>
        <w:tc>
          <w:tcPr>
            <w:tcW w:type="dxa" w:w="4933"/>
            <w:shd w:fill="132A45"/>
            <w:tcMar>
              <w:top w:w="90" w:type="dxa"/>
              <w:start w:w="110" w:type="dxa"/>
              <w:bottom w:w="90" w:type="dxa"/>
              <w:end w:w="110" w:type="dxa"/>
            </w:tcMar>
            <w:vAlign w:val="center"/>
          </w:tcPr>
          <w:p>
            <w:pPr>
              <w:bidi/>
              <w:jc w:val="right"/>
            </w:pPr>
            <w:r>
              <w:rPr>
                <w:rFonts w:ascii="Noto Sans Arabic" w:hAnsi="Noto Sans Arabic" w:cs="Noto Sans Arabic"/>
                <w:b/>
                <w:color w:val="FFFFFF"/>
                <w:sz w:val="18"/>
                <w:rtl/>
              </w:rPr>
              <w:t>موضوع</w:t>
            </w:r>
          </w:p>
        </w:tc>
        <w:tc>
          <w:tcPr>
            <w:tcW w:type="dxa" w:w="4933"/>
            <w:shd w:fill="132A45"/>
            <w:tcMar>
              <w:top w:w="90" w:type="dxa"/>
              <w:start w:w="110" w:type="dxa"/>
              <w:bottom w:w="90" w:type="dxa"/>
              <w:end w:w="110" w:type="dxa"/>
            </w:tcMar>
            <w:vAlign w:val="center"/>
          </w:tcPr>
          <w:p>
            <w:pPr>
              <w:bidi/>
              <w:jc w:val="right"/>
            </w:pPr>
            <w:r>
              <w:rPr>
                <w:rFonts w:ascii="Noto Sans Arabic" w:hAnsi="Noto Sans Arabic" w:cs="Noto Sans Arabic"/>
                <w:b/>
                <w:color w:val="FFFFFF"/>
                <w:sz w:val="18"/>
                <w:rtl/>
              </w:rPr>
              <w:t>مقدار</w:t>
            </w:r>
          </w:p>
        </w:tc>
      </w:tr>
      <w:tr>
        <w:trPr>
          <w:cantSplit/>
        </w:trPr>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نام محصول</w:t>
            </w:r>
          </w:p>
        </w:tc>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LEGALIR</w:t>
            </w:r>
          </w:p>
        </w:tc>
      </w:tr>
      <w:tr>
        <w:trPr>
          <w:cantSplit/>
        </w:trPr>
        <w:tc>
          <w:tcPr>
            <w:tcW w:type="dxa" w:w="4933"/>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نوع سند</w:t>
            </w:r>
          </w:p>
        </w:tc>
        <w:tc>
          <w:tcPr>
            <w:tcW w:type="dxa" w:w="4933"/>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سند چشم‌انداز محصول (Product Vision)</w:t>
            </w:r>
          </w:p>
        </w:tc>
      </w:tr>
      <w:tr>
        <w:trPr>
          <w:cantSplit/>
        </w:trPr>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نسخه</w:t>
            </w:r>
          </w:p>
        </w:tc>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۱.۰</w:t>
            </w:r>
          </w:p>
        </w:tc>
      </w:tr>
      <w:tr>
        <w:trPr>
          <w:cantSplit/>
        </w:trPr>
        <w:tc>
          <w:tcPr>
            <w:tcW w:type="dxa" w:w="4933"/>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محدوده جغرافیایی اولیه</w:t>
            </w:r>
          </w:p>
        </w:tc>
        <w:tc>
          <w:tcPr>
            <w:tcW w:type="dxa" w:w="4933"/>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جمهوری اسلامی ایران</w:t>
            </w:r>
          </w:p>
        </w:tc>
      </w:tr>
      <w:tr>
        <w:trPr>
          <w:cantSplit/>
        </w:trPr>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زبان و جهت رابط</w:t>
            </w:r>
          </w:p>
        </w:tc>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فارسی و راست‌به‌چپ؛ آمادگی برای انگلیسی در مراحل بعد</w:t>
            </w:r>
          </w:p>
        </w:tc>
      </w:tr>
      <w:tr>
        <w:trPr>
          <w:cantSplit/>
        </w:trPr>
        <w:tc>
          <w:tcPr>
            <w:tcW w:type="dxa" w:w="4933"/>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مخاطبان سند</w:t>
            </w:r>
          </w:p>
        </w:tc>
        <w:tc>
          <w:tcPr>
            <w:tcW w:type="dxa" w:w="4933"/>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بنیان‌گذاران، مدیر محصول، تیم حقوقی، UX/UI، معماری نرم‌افزار، هوش مصنوعی، امنیت و QA</w:t>
            </w:r>
          </w:p>
        </w:tc>
      </w:tr>
      <w:tr>
        <w:trPr>
          <w:cantSplit/>
        </w:trPr>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منبع اصلی نیازمندی</w:t>
            </w:r>
          </w:p>
        </w:tc>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مستند «سیستم حقوقی» بارگذاری‌شده توسط کارفرما، ۱۲ صفحه</w:t>
            </w:r>
          </w:p>
        </w:tc>
      </w:tr>
      <w:tr>
        <w:trPr>
          <w:cantSplit/>
        </w:trPr>
        <w:tc>
          <w:tcPr>
            <w:tcW w:type="dxa" w:w="4933"/>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وضعیت حقوقی</w:t>
            </w:r>
          </w:p>
        </w:tc>
        <w:tc>
          <w:tcPr>
            <w:tcW w:type="dxa" w:w="4933"/>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چارچوب اولیه محصول؛ نه نظریه حقوقی نهایی و نه مجوز فعالیت</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FFF8E7"/>
            <w:tcMar>
              <w:top w:w="160" w:type="dxa"/>
              <w:start w:w="200" w:type="dxa"/>
              <w:bottom w:w="160" w:type="dxa"/>
              <w:end w:w="200" w:type="dxa"/>
            </w:tcMar>
            <w:tcBorders>
              <w:top w:val="single" w:sz="8" w:color="D69E2E"/>
              <w:left w:val="single" w:sz="8" w:color="D69E2E"/>
              <w:bottom w:val="single" w:sz="8" w:color="D69E2E"/>
              <w:right w:val="single" w:sz="8" w:color="D69E2E"/>
            </w:tcBorders>
          </w:tcPr>
          <w:p>
            <w:pPr>
              <w:bidi/>
              <w:jc w:val="right"/>
            </w:pPr>
            <w:r>
              <w:rPr>
                <w:rFonts w:ascii="Noto Sans Arabic" w:hAnsi="Noto Sans Arabic" w:cs="Noto Sans Arabic"/>
                <w:b/>
                <w:color w:val="132A45"/>
                <w:sz w:val="22"/>
                <w:rtl/>
              </w:rPr>
              <w:t>یادداشت مهم حقوقی</w:t>
              <w:br/>
            </w:r>
            <w:r>
              <w:rPr>
                <w:rFonts w:ascii="Noto Sans Arabic" w:hAnsi="Noto Sans Arabic" w:cs="Noto Sans Arabic"/>
                <w:b w:val="0"/>
                <w:color w:val="1F2937"/>
                <w:sz w:val="20"/>
                <w:rtl/>
              </w:rPr>
              <w:t>این سند با هدف تعریف چشم‌انداز و سیاست‌های محصول تهیه شده است. تفسیر قوانین، تعیین مجوزهای لازم، متن شرایط استفاده، حریم خصوصی، مدل همکاری با وکلا، تبلیغات خدمات حقوقی، نگهداری داده و مسئولیت حرفه‌ای باید پیش از عرضه عمومی توسط وکیل یا تیم حقوقی دارای صلاحیت در ایران بررسی و تصویب شود.</w:t>
            </w:r>
          </w:p>
        </w:tc>
      </w:tr>
    </w:tbl>
    <w:p>
      <w:pPr>
        <w:spacing w:after="20"/>
      </w:pPr>
    </w:p>
    <w:p>
      <w:pPr>
        <w:keepNext/>
        <w:bidi/>
        <w:spacing w:before="240" w:after="100"/>
        <w:jc w:val="right"/>
        <w:pBdr>
          <w:bottom w:val="single" w:sz="10" w:space="4" w:color="19A7A0"/>
        </w:pBdr>
      </w:pPr>
      <w:r>
        <w:rPr>
          <w:rFonts w:ascii="Noto Sans Arabic" w:hAnsi="Noto Sans Arabic" w:cs="Noto Sans Arabic"/>
          <w:b/>
          <w:color w:val="132A45"/>
          <w:sz w:val="34"/>
          <w:rtl/>
        </w:rPr>
        <w:t>فهرست مطالب</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۱. خلاصه مدیریتی</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۲. منشأ و زمینه محصول</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۳. مسئله‌ای که LEGALIR حل می‌کند</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۴. چشم‌انداز، مأموریت و وعده برند</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۵. کاربران و بازار هدف</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۶. نیازهای اصلی کاربران</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۷. ارزش پیشنهادی</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۸. ستون‌های راهبردی محصول</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۹. تجربه مطلوب انتها به انتها</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۱۰. دامنه و مرزهای محصول</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۱۱. موضع محصول درباره هوش مصنوعی و مسئولیت حقوقی</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۱۲. اصول اعتماد، امنیت و محرمانگی</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۱۳. مبنای حقوقی اولیه در ایران</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۱۴. مدل کسب‌وکار در سطح چشم‌انداز</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۱۵. تمایز رقابتی</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۱۶. افق نسخه‌ها</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۱۷. شاخص‌های موفقیت</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۱۸. ریسک‌های راهبردی و پاسخ اولیه</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۱۹. فرضیات و تصمیم‌های باز</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۲۰. اصول تصمیم‌گیری محصول</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۲۱. خروجی مورد انتظار از اسناد بعدی</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ضمیمه: منابع و واژه‌نامه</w:t>
      </w:r>
    </w:p>
    <w:p>
      <w:r>
        <w:br w:type="page"/>
      </w:r>
    </w:p>
    <w:p>
      <w:pPr>
        <w:keepNext/>
        <w:bidi/>
        <w:spacing w:before="240" w:after="100"/>
        <w:jc w:val="right"/>
        <w:pBdr>
          <w:bottom w:val="single" w:sz="10" w:space="4" w:color="19A7A0"/>
        </w:pBdr>
      </w:pPr>
      <w:r>
        <w:rPr>
          <w:rFonts w:ascii="Noto Sans Arabic" w:hAnsi="Noto Sans Arabic" w:cs="Noto Sans Arabic"/>
          <w:b/>
          <w:color w:val="132A45"/>
          <w:sz w:val="34"/>
          <w:rtl/>
        </w:rPr>
        <w:t>۱. خلاصه مدیریتی</w:t>
      </w:r>
    </w:p>
    <w:p>
      <w:pPr>
        <w:bidi/>
        <w:spacing w:line="324" w:lineRule="auto" w:after="80"/>
        <w:ind w:firstLine="255"/>
        <w:jc w:val="right"/>
      </w:pPr>
      <w:r>
        <w:rPr>
          <w:rFonts w:ascii="Noto Sans Arabic" w:hAnsi="Noto Sans Arabic" w:cs="Noto Sans Arabic"/>
          <w:b w:val="0"/>
          <w:sz w:val="21"/>
          <w:rtl/>
        </w:rPr>
        <w:t>LEGALIR یک پلتفرم حقوقی دیجیتال مبتنی بر هوش مصنوعی برای بازار ایران است که سه گروه اصلی—اشخاص، وکلا و کسب‌وکارها—را در یک محیط امن و یکپارچه به خدمات حقوقی قابل‌فهم، اسناد قابل‌مدیریت و متخصصان احراز‌شده متصل می‌کند. محصول قرار نیست صرفاً یک چت‌بات عمومی باشد؛ بلکه باید به‌تدریج چهار نقش را در یک زیست‌بوم واحد جمع کند: دستیار حقوقی هوشمند، سامانه تولید و تحلیل اسناد، بستر مدیریت امور حقوقی و بازارگاه خدمات وکالتی.</w:t>
      </w:r>
    </w:p>
    <w:p>
      <w:pPr>
        <w:bidi/>
        <w:spacing w:line="324" w:lineRule="auto" w:after="80"/>
        <w:ind w:firstLine="255"/>
        <w:jc w:val="right"/>
      </w:pPr>
      <w:r>
        <w:rPr>
          <w:rFonts w:ascii="Noto Sans Arabic" w:hAnsi="Noto Sans Arabic" w:cs="Noto Sans Arabic"/>
          <w:b w:val="0"/>
          <w:sz w:val="21"/>
          <w:rtl/>
        </w:rPr>
        <w:t>هسته ارزش LEGALIR از ترکیب «دانش حقوقی نسخه‌بندی‌شده»، «تجربه کاربری مرحله‌ای»، «ارجاع شفاف به منابع»، «کنترل ریسک پاسخ‌های هوش مصنوعی» و «امکان انتقال بدون اصطکاک از AI به وکیل واقعی» شکل می‌گیرد. به همین دلیل، کیفیت محصول با تعداد پاسخ‌های تولیدشده سنجیده نمی‌شود؛ بلکه با میزان حل مسئله، کاهش ابهام کاربر، صحت استنادها، حفاظت از محرمانگی و موفقیت در هدایت کاربر به اقدام مناسب سنجیده خواهد شد.</w:t>
      </w:r>
    </w:p>
    <w:tbl>
      <w:tblPr>
        <w:tblW w:type="auto" w:w="0"/>
        <w:jc w:val="center"/>
        <w:tblLook w:firstColumn="1" w:firstRow="1" w:lastColumn="0" w:lastRow="0" w:noHBand="0" w:noVBand="1" w:val="04A0"/>
      </w:tblPr>
      <w:tblGrid>
        <w:gridCol w:w="9866"/>
      </w:tblGrid>
      <w:tr>
        <w:trPr>
          <w:cantSplit/>
        </w:trPr>
        <w:tc>
          <w:tcPr>
            <w:tcW w:type="dxa" w:w="9866"/>
            <w:shd w:fill="EAF7F6"/>
            <w:tcMar>
              <w:top w:w="160" w:type="dxa"/>
              <w:start w:w="200" w:type="dxa"/>
              <w:bottom w:w="160" w:type="dxa"/>
              <w:end w:w="200" w:type="dxa"/>
            </w:tcMar>
            <w:tcBorders>
              <w:top w:val="single" w:sz="8" w:color="19A7A0"/>
              <w:left w:val="single" w:sz="8" w:color="19A7A0"/>
              <w:bottom w:val="single" w:sz="8" w:color="19A7A0"/>
              <w:right w:val="single" w:sz="8" w:color="19A7A0"/>
            </w:tcBorders>
          </w:tcPr>
          <w:p>
            <w:pPr>
              <w:bidi/>
              <w:jc w:val="right"/>
            </w:pPr>
            <w:r>
              <w:rPr>
                <w:rFonts w:ascii="Noto Sans Arabic" w:hAnsi="Noto Sans Arabic" w:cs="Noto Sans Arabic"/>
                <w:b/>
                <w:color w:val="132A45"/>
                <w:sz w:val="22"/>
                <w:rtl/>
              </w:rPr>
              <w:t>تعریف یک‌جمله‌ای محصول</w:t>
              <w:br/>
            </w:r>
            <w:r>
              <w:rPr>
                <w:rFonts w:ascii="Noto Sans Arabic" w:hAnsi="Noto Sans Arabic" w:cs="Noto Sans Arabic"/>
                <w:b w:val="0"/>
                <w:color w:val="1F2937"/>
                <w:sz w:val="20"/>
                <w:rtl/>
              </w:rPr>
              <w:t>LEGALIR مسیر دسترسی به خدمات حقوقی ایران را از یک فرایند پراکنده، پیچیده و پرابهام به یک تجربه دیجیتال امن، مرحله‌ای، مستند و قابل پیگیری تبدیل می‌کند.</w:t>
            </w:r>
          </w:p>
        </w:tc>
      </w:tr>
    </w:tbl>
    <w:p>
      <w:pPr>
        <w:spacing w:after="20"/>
      </w:pPr>
    </w:p>
    <w:p>
      <w:pPr>
        <w:keepNext/>
        <w:bidi/>
        <w:spacing w:before="240" w:after="100"/>
        <w:jc w:val="right"/>
        <w:pBdr>
          <w:bottom w:val="single" w:sz="10" w:space="4" w:color="19A7A0"/>
        </w:pBdr>
      </w:pPr>
      <w:r>
        <w:rPr>
          <w:rFonts w:ascii="Noto Sans Arabic" w:hAnsi="Noto Sans Arabic" w:cs="Noto Sans Arabic"/>
          <w:b/>
          <w:color w:val="132A45"/>
          <w:sz w:val="34"/>
          <w:rtl/>
        </w:rPr>
        <w:t>۲. منشأ و زمینه محصول</w:t>
      </w:r>
    </w:p>
    <w:p>
      <w:pPr>
        <w:bidi/>
        <w:spacing w:line="324" w:lineRule="auto" w:after="80"/>
        <w:ind w:firstLine="255"/>
        <w:jc w:val="right"/>
      </w:pPr>
      <w:r>
        <w:rPr>
          <w:rFonts w:ascii="Noto Sans Arabic" w:hAnsi="Noto Sans Arabic" w:cs="Noto Sans Arabic"/>
          <w:b w:val="0"/>
          <w:sz w:val="21"/>
          <w:rtl/>
        </w:rPr>
        <w:t>مستند نیازمندی اولیه، ظرفیت محصول را در نقطه تلاقی دفتر وکالت آنلاین، دستیار حقوقی هوشمند، تولیدکننده قرارداد، مدیریت پرونده و مارکت‌پلیس وکلا تعریف می‌کند. در همان مستند، سه گروه کاربر، ماژول مشاوره AI، قراردادساز، پنل وکلا، مدیریت پرونده، موتور دانش حقوقی، تحلیل اسناد و مدل درآمدی Freemium مطرح شده‌اند.</w:t>
      </w:r>
    </w:p>
    <w:p>
      <w:pPr>
        <w:bidi/>
        <w:spacing w:line="324" w:lineRule="auto" w:after="80"/>
        <w:ind w:firstLine="255"/>
        <w:jc w:val="right"/>
      </w:pPr>
      <w:r>
        <w:rPr>
          <w:rFonts w:ascii="Noto Sans Arabic" w:hAnsi="Noto Sans Arabic" w:cs="Noto Sans Arabic"/>
          <w:b w:val="0"/>
          <w:sz w:val="21"/>
          <w:rtl/>
        </w:rPr>
        <w:t>این سند Product Vision آن ایده را از «فهرست قابلیت‌ها» به «جهت‌گیری راهبردی محصول» تبدیل می‌کند. در این سطح هنوز درباره انتخاب فریم‌ورک، پایگاه داده، مدل زبانی یا طراحی دقیق صفحات تصمیم‌گیری نمی‌شود؛ اما قواعدی تعیین می‌شود که تمام تصمیم‌های بعدی باید با آن‌ها سازگار باشند.</w:t>
      </w:r>
    </w:p>
    <w:p>
      <w:pPr>
        <w:keepNext/>
        <w:bidi/>
        <w:spacing w:before="240" w:after="100"/>
        <w:jc w:val="right"/>
        <w:pBdr>
          <w:bottom w:val="single" w:sz="10" w:space="4" w:color="19A7A0"/>
        </w:pBdr>
      </w:pPr>
      <w:r>
        <w:rPr>
          <w:rFonts w:ascii="Noto Sans Arabic" w:hAnsi="Noto Sans Arabic" w:cs="Noto Sans Arabic"/>
          <w:b/>
          <w:color w:val="132A45"/>
          <w:sz w:val="34"/>
          <w:rtl/>
        </w:rPr>
        <w:t>۳. مسئله‌ای که LEGALIR حل می‌کند</w:t>
      </w:r>
    </w:p>
    <w:p>
      <w:pPr>
        <w:keepNext/>
        <w:bidi/>
        <w:spacing w:before="160" w:after="100"/>
        <w:jc w:val="right"/>
      </w:pPr>
      <w:r>
        <w:rPr>
          <w:rFonts w:ascii="Noto Sans Arabic" w:hAnsi="Noto Sans Arabic" w:cs="Noto Sans Arabic"/>
          <w:b/>
          <w:color w:val="1B4965"/>
          <w:sz w:val="28"/>
          <w:rtl/>
        </w:rPr>
        <w:t>۳.۱ مسئله کاربران شخصی</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زبان قوانین و فرایندهای حقوقی برای بخش بزرگی از جامعه پیچیده، تخصصی و پراکنده است.</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کاربر معمولاً نمی‌داند مسئله او دقیقاً در کدام حوزه قرار می‌گیرد، چه مدارکی لازم است و اولین اقدام درست چیست.</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پیدا کردن وکیل متناسب با موضوع، شهر، زمان، هزینه و سطح پیچیدگی پرونده دشوار است.</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تجربه کاربر میان تماس تلفنی، پیام‌رسان، فایل‌های پراکنده، پرداخت، جلسه و پیگیری پرونده گسسته می‌شود.</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درخواست‌های ساده مانند تهیه یک قرارداد اولیه، بررسی ریسک یک بند یا شناخت مواد قانونی مرتبط، زمان و هزینه غیرقابل پیش‌بینی دارند.</w:t>
      </w:r>
    </w:p>
    <w:p>
      <w:pPr>
        <w:keepNext/>
        <w:bidi/>
        <w:spacing w:before="160" w:after="100"/>
        <w:jc w:val="right"/>
      </w:pPr>
      <w:r>
        <w:rPr>
          <w:rFonts w:ascii="Noto Sans Arabic" w:hAnsi="Noto Sans Arabic" w:cs="Noto Sans Arabic"/>
          <w:b/>
          <w:color w:val="1B4965"/>
          <w:sz w:val="28"/>
          <w:rtl/>
        </w:rPr>
        <w:t>۳.۲ مسئله وکلا و مشاوران حقوقی</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درخواست‌های ورودی ساختارمند نیستند و زمان زیادی برای جمع‌آوری اطلاعات اولیه صرف می‌شود.</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مدارک، مکالمات، جلسه‌ها، پرداخت و وضعیت پرونده در ابزارهای متعدد نگهداری می‌شوند.</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جذب موکل جدید، نمایش تخصص واقعی و مدیریت ظرفیت کاری به شکل شفاف دشوار است.</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کارهای تکراری مانند خلاصه‌سازی اسناد، ساخت چک‌لیست، آماده‌سازی پیش‌نویس و یافتن منابع زمان‌برند.</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هر ابزار هوش مصنوعی عمومی می‌تواند ریسک جعل استناد، افشای محرمانگی و خروجی فاقد زمینه حقوق ایران ایجاد کند.</w:t>
      </w:r>
    </w:p>
    <w:p>
      <w:pPr>
        <w:keepNext/>
        <w:bidi/>
        <w:spacing w:before="160" w:after="100"/>
        <w:jc w:val="right"/>
      </w:pPr>
      <w:r>
        <w:rPr>
          <w:rFonts w:ascii="Noto Sans Arabic" w:hAnsi="Noto Sans Arabic" w:cs="Noto Sans Arabic"/>
          <w:b/>
          <w:color w:val="1B4965"/>
          <w:sz w:val="28"/>
          <w:rtl/>
        </w:rPr>
        <w:t>۳.۳ مسئله کسب‌وکارها</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قراردادها، تعهدات، تمدیدها و ریسک‌های حقوقی در فایل‌ها و واحدهای مختلف پراکنده‌اند.</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کسب‌وکارهای کوچک و متوسط معمولاً تیم حقوقی تمام‌وقت ندارند، اما به راهنمایی مستمر نیاز دارند.</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مدیریت نسخه قرارداد، مهلت‌ها، تعهدات، تأییدها و سابقه مذاکره به‌صورت دستی انجام می‌شود.</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دسترسی به خدمات حقوقی تخصصی برای یک درخواست مشخص، کند و فاقد استاندارد تجربه است.</w:t>
      </w:r>
    </w:p>
    <w:tbl>
      <w:tblPr>
        <w:tblW w:type="auto" w:w="0"/>
        <w:jc w:val="center"/>
        <w:tblLook w:firstColumn="1" w:firstRow="1" w:lastColumn="0" w:lastRow="0" w:noHBand="0" w:noVBand="1" w:val="04A0"/>
      </w:tblPr>
      <w:tblGrid>
        <w:gridCol w:w="9866"/>
      </w:tblGrid>
      <w:tr>
        <w:trPr>
          <w:cantSplit/>
        </w:trPr>
        <w:tc>
          <w:tcPr>
            <w:tcW w:type="dxa" w:w="9866"/>
            <w:shd w:fill="EEF4FF"/>
            <w:tcMar>
              <w:top w:w="160" w:type="dxa"/>
              <w:start w:w="200" w:type="dxa"/>
              <w:bottom w:w="160" w:type="dxa"/>
              <w:end w:w="200" w:type="dxa"/>
            </w:tcMar>
            <w:tcBorders>
              <w:top w:val="single" w:sz="8" w:color="4C78A8"/>
              <w:left w:val="single" w:sz="8" w:color="4C78A8"/>
              <w:bottom w:val="single" w:sz="8" w:color="4C78A8"/>
              <w:right w:val="single" w:sz="8" w:color="4C78A8"/>
            </w:tcBorders>
          </w:tcPr>
          <w:p>
            <w:pPr>
              <w:bidi/>
              <w:jc w:val="right"/>
            </w:pPr>
            <w:r>
              <w:rPr>
                <w:rFonts w:ascii="Noto Sans Arabic" w:hAnsi="Noto Sans Arabic" w:cs="Noto Sans Arabic"/>
                <w:b/>
                <w:color w:val="132A45"/>
                <w:sz w:val="22"/>
                <w:rtl/>
              </w:rPr>
              <w:t>صورت مسئله مرکزی</w:t>
              <w:br/>
            </w:r>
            <w:r>
              <w:rPr>
                <w:rFonts w:ascii="Noto Sans Arabic" w:hAnsi="Noto Sans Arabic" w:cs="Noto Sans Arabic"/>
                <w:b w:val="0"/>
                <w:color w:val="1F2937"/>
                <w:sz w:val="20"/>
                <w:rtl/>
              </w:rPr>
              <w:t>بازار با کمبود مطلق اطلاعات حقوقی مواجه نیست؛ مشکل اصلی، تبدیل اطلاعات پراکنده به پاسخ قابل اتکا، اقدام قابل اجرا، سند قابل مدیریت و ارتباط امن با متخصص مناسب است.</w:t>
            </w:r>
          </w:p>
        </w:tc>
      </w:tr>
    </w:tbl>
    <w:p>
      <w:pPr>
        <w:spacing w:after="20"/>
      </w:pPr>
    </w:p>
    <w:p>
      <w:pPr>
        <w:keepNext/>
        <w:bidi/>
        <w:spacing w:before="240" w:after="100"/>
        <w:jc w:val="right"/>
        <w:pBdr>
          <w:bottom w:val="single" w:sz="10" w:space="4" w:color="19A7A0"/>
        </w:pBdr>
      </w:pPr>
      <w:r>
        <w:rPr>
          <w:rFonts w:ascii="Noto Sans Arabic" w:hAnsi="Noto Sans Arabic" w:cs="Noto Sans Arabic"/>
          <w:b/>
          <w:color w:val="132A45"/>
          <w:sz w:val="34"/>
          <w:rtl/>
        </w:rPr>
        <w:t>۴. چشم‌انداز، مأموریت و وعده برند</w:t>
      </w:r>
    </w:p>
    <w:p>
      <w:pPr>
        <w:keepNext/>
        <w:bidi/>
        <w:spacing w:before="160" w:after="100"/>
        <w:jc w:val="right"/>
      </w:pPr>
      <w:r>
        <w:rPr>
          <w:rFonts w:ascii="Noto Sans Arabic" w:hAnsi="Noto Sans Arabic" w:cs="Noto Sans Arabic"/>
          <w:b/>
          <w:color w:val="1B4965"/>
          <w:sz w:val="28"/>
          <w:rtl/>
        </w:rPr>
        <w:t>۴.۱ چشم‌انداز</w:t>
      </w:r>
    </w:p>
    <w:tbl>
      <w:tblPr>
        <w:tblW w:type="auto" w:w="0"/>
        <w:jc w:val="center"/>
        <w:tblLook w:firstColumn="1" w:firstRow="1" w:lastColumn="0" w:lastRow="0" w:noHBand="0" w:noVBand="1" w:val="04A0"/>
      </w:tblPr>
      <w:tblGrid>
        <w:gridCol w:w="9866"/>
      </w:tblGrid>
      <w:tr>
        <w:trPr>
          <w:cantSplit/>
        </w:trPr>
        <w:tc>
          <w:tcPr>
            <w:tcW w:type="dxa" w:w="9866"/>
            <w:shd w:fill="EAF7F6"/>
            <w:tcMar>
              <w:top w:w="160" w:type="dxa"/>
              <w:start w:w="200" w:type="dxa"/>
              <w:bottom w:w="160" w:type="dxa"/>
              <w:end w:w="200" w:type="dxa"/>
            </w:tcMar>
            <w:tcBorders>
              <w:top w:val="single" w:sz="8" w:color="19A7A0"/>
              <w:left w:val="single" w:sz="8" w:color="19A7A0"/>
              <w:bottom w:val="single" w:sz="8" w:color="19A7A0"/>
              <w:right w:val="single" w:sz="8" w:color="19A7A0"/>
            </w:tcBorders>
          </w:tcPr>
          <w:p>
            <w:pPr>
              <w:bidi/>
              <w:jc w:val="right"/>
            </w:pPr>
            <w:r>
              <w:rPr>
                <w:rFonts w:ascii="Noto Sans Arabic" w:hAnsi="Noto Sans Arabic" w:cs="Noto Sans Arabic"/>
                <w:b/>
                <w:color w:val="132A45"/>
                <w:sz w:val="22"/>
                <w:rtl/>
              </w:rPr>
              <w:t>Vision Statement</w:t>
              <w:br/>
            </w:r>
            <w:r>
              <w:rPr>
                <w:rFonts w:ascii="Noto Sans Arabic" w:hAnsi="Noto Sans Arabic" w:cs="Noto Sans Arabic"/>
                <w:b w:val="0"/>
                <w:color w:val="1F2937"/>
                <w:sz w:val="20"/>
                <w:rtl/>
              </w:rPr>
              <w:t>LEGALIR به قابل‌اعتمادترین درگاه دیجیتال برای فهم، انجام و مدیریت امور حقوقی روزمره و تجاری در ایران تبدیل شود؛ به‌گونه‌ای که کاربر بداند چه حقوق و گزینه‌هایی دارد، چه اقدامی باید انجام دهد و در کدام نقطه به وکیل نیاز دارد.</w:t>
            </w:r>
          </w:p>
        </w:tc>
      </w:tr>
    </w:tbl>
    <w:p>
      <w:pPr>
        <w:spacing w:after="20"/>
      </w:pPr>
    </w:p>
    <w:p>
      <w:pPr>
        <w:keepNext/>
        <w:bidi/>
        <w:spacing w:before="160" w:after="100"/>
        <w:jc w:val="right"/>
      </w:pPr>
      <w:r>
        <w:rPr>
          <w:rFonts w:ascii="Noto Sans Arabic" w:hAnsi="Noto Sans Arabic" w:cs="Noto Sans Arabic"/>
          <w:b/>
          <w:color w:val="1B4965"/>
          <w:sz w:val="28"/>
          <w:rtl/>
        </w:rPr>
        <w:t>۴.۲ مأموریت</w:t>
      </w:r>
    </w:p>
    <w:p>
      <w:pPr>
        <w:bidi/>
        <w:spacing w:line="324" w:lineRule="auto" w:after="80"/>
        <w:ind w:firstLine="255"/>
        <w:jc w:val="right"/>
      </w:pPr>
      <w:r>
        <w:rPr>
          <w:rFonts w:ascii="Noto Sans Arabic" w:hAnsi="Noto Sans Arabic" w:cs="Noto Sans Arabic"/>
          <w:b w:val="0"/>
          <w:sz w:val="21"/>
          <w:rtl/>
        </w:rPr>
        <w:t>کاهش فاصله میان مردم، کسب‌وکارها، دانش حقوقی و وکلای متخصص از طریق یک تجربه دیجیتال فارسی، امن، مستند و مرحله‌ای؛ با استفاده مسئولانه از هوش مصنوعی و حفظ نقش انسانی وکیل در تصمیم‌ها و خدمات رسمی.</w:t>
      </w:r>
    </w:p>
    <w:p>
      <w:pPr>
        <w:keepNext/>
        <w:bidi/>
        <w:spacing w:before="160" w:after="100"/>
        <w:jc w:val="right"/>
      </w:pPr>
      <w:r>
        <w:rPr>
          <w:rFonts w:ascii="Noto Sans Arabic" w:hAnsi="Noto Sans Arabic" w:cs="Noto Sans Arabic"/>
          <w:b/>
          <w:color w:val="1B4965"/>
          <w:sz w:val="28"/>
          <w:rtl/>
        </w:rPr>
        <w:t>۴.۳ وعده اصلی برند</w:t>
      </w:r>
    </w:p>
    <w:p>
      <w:pPr>
        <w:bidi/>
        <w:spacing w:line="324" w:lineRule="auto" w:after="80"/>
        <w:ind w:firstLine="255"/>
        <w:jc w:val="right"/>
      </w:pPr>
      <w:r>
        <w:rPr>
          <w:rFonts w:ascii="Noto Sans Arabic" w:hAnsi="Noto Sans Arabic" w:cs="Noto Sans Arabic"/>
          <w:b w:val="0"/>
          <w:sz w:val="21"/>
          <w:rtl/>
        </w:rPr>
        <w:t>«موضوع حقوقی خود را روشن‌تر بفهمید، مدارک و گزینه‌های خود را منظم کنید و با اطمینان بیشتری اقدام بعدی را انتخاب کنید.»</w:t>
      </w:r>
    </w:p>
    <w:p>
      <w:r>
        <w:br w:type="page"/>
      </w:r>
    </w:p>
    <w:p>
      <w:pPr>
        <w:keepNext/>
        <w:bidi/>
        <w:spacing w:before="160" w:after="100"/>
        <w:jc w:val="right"/>
      </w:pPr>
      <w:r>
        <w:rPr>
          <w:rFonts w:ascii="Noto Sans Arabic" w:hAnsi="Noto Sans Arabic" w:cs="Noto Sans Arabic"/>
          <w:b/>
          <w:color w:val="1B4965"/>
          <w:sz w:val="28"/>
          <w:rtl/>
        </w:rPr>
        <w:t>۴.۴ شخصیت برند</w:t>
      </w:r>
    </w:p>
    <w:tbl>
      <w:tblPr>
        <w:tblStyle w:val="TableGrid"/>
        <w:tblW w:type="auto" w:w="0"/>
        <w:jc w:val="center"/>
        <w:tblLayout w:type="autofit"/>
        <w:tblLook w:firstColumn="1" w:firstRow="1" w:lastColumn="0" w:lastRow="0" w:noHBand="0" w:noVBand="1" w:val="04A0"/>
      </w:tblPr>
      <w:tblGrid>
        <w:gridCol w:w="4933"/>
        <w:gridCol w:w="4933"/>
      </w:tblGrid>
      <w:tr>
        <w:trPr>
          <w:tblHeader w:val="true"/>
          <w:cantSplit/>
        </w:trPr>
        <w:tc>
          <w:tcPr>
            <w:tcW w:type="dxa" w:w="4933"/>
            <w:shd w:fill="132A45"/>
            <w:tcMar>
              <w:top w:w="90" w:type="dxa"/>
              <w:start w:w="110" w:type="dxa"/>
              <w:bottom w:w="90" w:type="dxa"/>
              <w:end w:w="110" w:type="dxa"/>
            </w:tcMar>
            <w:vAlign w:val="center"/>
          </w:tcPr>
          <w:p>
            <w:pPr>
              <w:bidi/>
              <w:jc w:val="right"/>
            </w:pPr>
            <w:r>
              <w:rPr>
                <w:rFonts w:ascii="Noto Sans Arabic" w:hAnsi="Noto Sans Arabic" w:cs="Noto Sans Arabic"/>
                <w:b/>
                <w:color w:val="FFFFFF"/>
                <w:sz w:val="18"/>
                <w:rtl/>
              </w:rPr>
              <w:t>ویژگی</w:t>
            </w:r>
          </w:p>
        </w:tc>
        <w:tc>
          <w:tcPr>
            <w:tcW w:type="dxa" w:w="4933"/>
            <w:shd w:fill="132A45"/>
            <w:tcMar>
              <w:top w:w="90" w:type="dxa"/>
              <w:start w:w="110" w:type="dxa"/>
              <w:bottom w:w="90" w:type="dxa"/>
              <w:end w:w="110" w:type="dxa"/>
            </w:tcMar>
            <w:vAlign w:val="center"/>
          </w:tcPr>
          <w:p>
            <w:pPr>
              <w:bidi/>
              <w:jc w:val="right"/>
            </w:pPr>
            <w:r>
              <w:rPr>
                <w:rFonts w:ascii="Noto Sans Arabic" w:hAnsi="Noto Sans Arabic" w:cs="Noto Sans Arabic"/>
                <w:b/>
                <w:color w:val="FFFFFF"/>
                <w:sz w:val="18"/>
                <w:rtl/>
              </w:rPr>
              <w:t>توصیف رفتاری</w:t>
            </w:r>
          </w:p>
        </w:tc>
      </w:tr>
      <w:tr>
        <w:trPr>
          <w:cantSplit/>
        </w:trPr>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قابل اعتماد</w:t>
            </w:r>
          </w:p>
        </w:tc>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هیچ منبع، قطعیت یا تخصصی را جعل نمی‌کند و محدودیت خود را پنهان نمی‌سازد.</w:t>
            </w:r>
          </w:p>
        </w:tc>
      </w:tr>
      <w:tr>
        <w:trPr>
          <w:cantSplit/>
        </w:trPr>
        <w:tc>
          <w:tcPr>
            <w:tcW w:type="dxa" w:w="4933"/>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شفاف</w:t>
            </w:r>
          </w:p>
        </w:tc>
        <w:tc>
          <w:tcPr>
            <w:tcW w:type="dxa" w:w="4933"/>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میان اطلاعات عمومی، تحلیل AI و نظر رسمی وکیل مرز روشن ایجاد می‌کند.</w:t>
            </w:r>
          </w:p>
        </w:tc>
      </w:tr>
      <w:tr>
        <w:trPr>
          <w:cantSplit/>
        </w:trPr>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آرام و حرفه‌ای</w:t>
            </w:r>
          </w:p>
        </w:tc>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از ایجاد ترس، فشار یا بزرگ‌نمایی ریسک برای فروش خدمت پرهیز می‌کند.</w:t>
            </w:r>
          </w:p>
        </w:tc>
      </w:tr>
      <w:tr>
        <w:trPr>
          <w:cantSplit/>
        </w:trPr>
        <w:tc>
          <w:tcPr>
            <w:tcW w:type="dxa" w:w="4933"/>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قابل فهم</w:t>
            </w:r>
          </w:p>
        </w:tc>
        <w:tc>
          <w:tcPr>
            <w:tcW w:type="dxa" w:w="4933"/>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مفاهیم پیچیده را بدون تحریف و با زبان ساده فارسی توضیح می‌دهد.</w:t>
            </w:r>
          </w:p>
        </w:tc>
      </w:tr>
      <w:tr>
        <w:trPr>
          <w:cantSplit/>
        </w:trPr>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محرمانه</w:t>
            </w:r>
          </w:p>
        </w:tc>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حریم خصوصی، کنترل دسترسی و حداقل‌گرایی داده را در طراحی محصول مقدم می‌داند.</w:t>
            </w:r>
          </w:p>
        </w:tc>
      </w:tr>
      <w:tr>
        <w:trPr>
          <w:cantSplit/>
        </w:trPr>
        <w:tc>
          <w:tcPr>
            <w:tcW w:type="dxa" w:w="4933"/>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اقدام‌محور</w:t>
            </w:r>
          </w:p>
        </w:tc>
        <w:tc>
          <w:tcPr>
            <w:tcW w:type="dxa" w:w="4933"/>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پاسخ را به چک‌لیست، مدارک لازم، زمان‌بندی و اقدام بعدی تبدیل می‌کند.</w:t>
            </w:r>
          </w:p>
        </w:tc>
      </w:tr>
    </w:tbl>
    <w:p>
      <w:pPr>
        <w:spacing w:after="20"/>
      </w:pPr>
    </w:p>
    <w:p>
      <w:r>
        <w:br w:type="page"/>
      </w:r>
    </w:p>
    <w:p>
      <w:pPr>
        <w:keepNext/>
        <w:bidi/>
        <w:spacing w:before="240" w:after="100"/>
        <w:jc w:val="right"/>
        <w:pBdr>
          <w:bottom w:val="single" w:sz="10" w:space="4" w:color="19A7A0"/>
        </w:pBdr>
      </w:pPr>
      <w:r>
        <w:rPr>
          <w:rFonts w:ascii="Noto Sans Arabic" w:hAnsi="Noto Sans Arabic" w:cs="Noto Sans Arabic"/>
          <w:b/>
          <w:color w:val="132A45"/>
          <w:sz w:val="34"/>
          <w:rtl/>
        </w:rPr>
        <w:t>۵. کاربران و بازار هدف</w:t>
      </w:r>
    </w:p>
    <w:tbl>
      <w:tblPr>
        <w:tblStyle w:val="TableGrid"/>
        <w:tblW w:type="auto" w:w="0"/>
        <w:jc w:val="center"/>
        <w:tblLayout w:type="autofit"/>
        <w:tblLook w:firstColumn="1" w:firstRow="1" w:lastColumn="0" w:lastRow="0" w:noHBand="0" w:noVBand="1" w:val="04A0"/>
      </w:tblPr>
      <w:tblGrid>
        <w:gridCol w:w="2466"/>
        <w:gridCol w:w="2466"/>
        <w:gridCol w:w="2466"/>
        <w:gridCol w:w="2466"/>
      </w:tblGrid>
      <w:tr>
        <w:trPr>
          <w:tblHeader w:val="true"/>
          <w:cantSplit/>
        </w:trPr>
        <w:tc>
          <w:tcPr>
            <w:tcW w:type="dxa" w:w="2466"/>
            <w:shd w:fill="132A45"/>
            <w:tcMar>
              <w:top w:w="90" w:type="dxa"/>
              <w:start w:w="110" w:type="dxa"/>
              <w:bottom w:w="90" w:type="dxa"/>
              <w:end w:w="110" w:type="dxa"/>
            </w:tcMar>
            <w:vAlign w:val="center"/>
          </w:tcPr>
          <w:p>
            <w:pPr>
              <w:bidi/>
              <w:jc w:val="right"/>
            </w:pPr>
            <w:r>
              <w:rPr>
                <w:rFonts w:ascii="Noto Sans Arabic" w:hAnsi="Noto Sans Arabic" w:cs="Noto Sans Arabic"/>
                <w:b/>
                <w:color w:val="FFFFFF"/>
                <w:sz w:val="18"/>
                <w:rtl/>
              </w:rPr>
              <w:t>بخش بازار</w:t>
            </w:r>
          </w:p>
        </w:tc>
        <w:tc>
          <w:tcPr>
            <w:tcW w:type="dxa" w:w="2466"/>
            <w:shd w:fill="132A45"/>
            <w:tcMar>
              <w:top w:w="90" w:type="dxa"/>
              <w:start w:w="110" w:type="dxa"/>
              <w:bottom w:w="90" w:type="dxa"/>
              <w:end w:w="110" w:type="dxa"/>
            </w:tcMar>
            <w:vAlign w:val="center"/>
          </w:tcPr>
          <w:p>
            <w:pPr>
              <w:bidi/>
              <w:jc w:val="right"/>
            </w:pPr>
            <w:r>
              <w:rPr>
                <w:rFonts w:ascii="Noto Sans Arabic" w:hAnsi="Noto Sans Arabic" w:cs="Noto Sans Arabic"/>
                <w:b/>
                <w:color w:val="FFFFFF"/>
                <w:sz w:val="18"/>
                <w:rtl/>
              </w:rPr>
              <w:t>کاربر اصلی</w:t>
            </w:r>
          </w:p>
        </w:tc>
        <w:tc>
          <w:tcPr>
            <w:tcW w:type="dxa" w:w="2466"/>
            <w:shd w:fill="132A45"/>
            <w:tcMar>
              <w:top w:w="90" w:type="dxa"/>
              <w:start w:w="110" w:type="dxa"/>
              <w:bottom w:w="90" w:type="dxa"/>
              <w:end w:w="110" w:type="dxa"/>
            </w:tcMar>
            <w:vAlign w:val="center"/>
          </w:tcPr>
          <w:p>
            <w:pPr>
              <w:bidi/>
              <w:jc w:val="right"/>
            </w:pPr>
            <w:r>
              <w:rPr>
                <w:rFonts w:ascii="Noto Sans Arabic" w:hAnsi="Noto Sans Arabic" w:cs="Noto Sans Arabic"/>
                <w:b/>
                <w:color w:val="FFFFFF"/>
                <w:sz w:val="18"/>
                <w:rtl/>
              </w:rPr>
              <w:t>نیاز غالب</w:t>
            </w:r>
          </w:p>
        </w:tc>
        <w:tc>
          <w:tcPr>
            <w:tcW w:type="dxa" w:w="2466"/>
            <w:shd w:fill="132A45"/>
            <w:tcMar>
              <w:top w:w="90" w:type="dxa"/>
              <w:start w:w="110" w:type="dxa"/>
              <w:bottom w:w="90" w:type="dxa"/>
              <w:end w:w="110" w:type="dxa"/>
            </w:tcMar>
            <w:vAlign w:val="center"/>
          </w:tcPr>
          <w:p>
            <w:pPr>
              <w:bidi/>
              <w:jc w:val="right"/>
            </w:pPr>
            <w:r>
              <w:rPr>
                <w:rFonts w:ascii="Noto Sans Arabic" w:hAnsi="Noto Sans Arabic" w:cs="Noto Sans Arabic"/>
                <w:b/>
                <w:color w:val="FFFFFF"/>
                <w:sz w:val="18"/>
                <w:rtl/>
              </w:rPr>
              <w:t>ارزش اولیه LEGALIR</w:t>
            </w:r>
          </w:p>
        </w:tc>
      </w:tr>
      <w:tr>
        <w:trPr>
          <w:cantSplit/>
        </w:trPr>
        <w:tc>
          <w:tcPr>
            <w:tcW w:type="dxa" w:w="2466"/>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B2C</w:t>
            </w:r>
          </w:p>
        </w:tc>
        <w:tc>
          <w:tcPr>
            <w:tcW w:type="dxa" w:w="2466"/>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اشخاص و خانواده‌ها</w:t>
            </w:r>
          </w:p>
        </w:tc>
        <w:tc>
          <w:tcPr>
            <w:tcW w:type="dxa" w:w="2466"/>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فهم مسئله، اقدام اولیه، قرارداد و اتصال به وکیل</w:t>
            </w:r>
          </w:p>
        </w:tc>
        <w:tc>
          <w:tcPr>
            <w:tcW w:type="dxa" w:w="2466"/>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راهنمایی مرحله‌ای، پرونده منظم و هزینه/زمان شفاف</w:t>
            </w:r>
          </w:p>
        </w:tc>
      </w:tr>
      <w:tr>
        <w:trPr>
          <w:cantSplit/>
        </w:trPr>
        <w:tc>
          <w:tcPr>
            <w:tcW w:type="dxa" w:w="2466"/>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Professional</w:t>
            </w:r>
          </w:p>
        </w:tc>
        <w:tc>
          <w:tcPr>
            <w:tcW w:type="dxa" w:w="2466"/>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وکیل و مشاور حقوقی</w:t>
            </w:r>
          </w:p>
        </w:tc>
        <w:tc>
          <w:tcPr>
            <w:tcW w:type="dxa" w:w="2466"/>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جذب درخواست مناسب و مدیریت دیجیتال خدمت</w:t>
            </w:r>
          </w:p>
        </w:tc>
        <w:tc>
          <w:tcPr>
            <w:tcW w:type="dxa" w:w="2466"/>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ورودی ساختارمند، پرونده، جلسه، پرداخت و ابزارهای کمکی AI</w:t>
            </w:r>
          </w:p>
        </w:tc>
      </w:tr>
      <w:tr>
        <w:trPr>
          <w:cantSplit/>
        </w:trPr>
        <w:tc>
          <w:tcPr>
            <w:tcW w:type="dxa" w:w="2466"/>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B2B</w:t>
            </w:r>
          </w:p>
        </w:tc>
        <w:tc>
          <w:tcPr>
            <w:tcW w:type="dxa" w:w="2466"/>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استارتاپ‌ها و شرکت‌های کوچک و متوسط</w:t>
            </w:r>
          </w:p>
        </w:tc>
        <w:tc>
          <w:tcPr>
            <w:tcW w:type="dxa" w:w="2466"/>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قرارداد، تعهدات، مشاوره مستمر و مدیریت ریسک</w:t>
            </w:r>
          </w:p>
        </w:tc>
        <w:tc>
          <w:tcPr>
            <w:tcW w:type="dxa" w:w="2466"/>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فضای کاری سازمانی، الگوها، گردش تأیید و دسترسی به متخصص</w:t>
            </w:r>
          </w:p>
        </w:tc>
      </w:tr>
      <w:tr>
        <w:trPr>
          <w:cantSplit/>
        </w:trPr>
        <w:tc>
          <w:tcPr>
            <w:tcW w:type="dxa" w:w="2466"/>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Enterprise - آینده</w:t>
            </w:r>
          </w:p>
        </w:tc>
        <w:tc>
          <w:tcPr>
            <w:tcW w:type="dxa" w:w="2466"/>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شرکت‌های بزرگ و مؤسسات حقوقی</w:t>
            </w:r>
          </w:p>
        </w:tc>
        <w:tc>
          <w:tcPr>
            <w:tcW w:type="dxa" w:w="2466"/>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CLM، انطباق، کنترل دسترسی و یکپارچه‌سازی</w:t>
            </w:r>
          </w:p>
        </w:tc>
        <w:tc>
          <w:tcPr>
            <w:tcW w:type="dxa" w:w="2466"/>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Tenant سازمانی، API، گزارش و Governance</w:t>
            </w:r>
          </w:p>
        </w:tc>
      </w:tr>
    </w:tbl>
    <w:p>
      <w:pPr>
        <w:spacing w:after="20"/>
      </w:pPr>
    </w:p>
    <w:p>
      <w:pPr>
        <w:bidi/>
        <w:spacing w:line="324" w:lineRule="auto" w:after="80"/>
        <w:ind w:firstLine="255"/>
        <w:jc w:val="right"/>
      </w:pPr>
      <w:r>
        <w:rPr>
          <w:rFonts w:ascii="Noto Sans Arabic" w:hAnsi="Noto Sans Arabic" w:cs="Noto Sans Arabic"/>
          <w:b w:val="0"/>
          <w:sz w:val="21"/>
          <w:rtl/>
        </w:rPr>
        <w:t>تمرکز پیشنهادی ورود به بازار: ابتدا B2C برای موضوعات حقوقی پرتکرار و قراردادهای استاندارد، همراه با عرضه کنترل‌شده به وکلای منتخب؛ سپس بسته سازمانی برای شرکت‌های کوچک و متوسط. توسعه هم‌زمان همه بازارها باعث پراکندگی تجربه و ریسک عملیات خواهد شد.</w:t>
      </w:r>
    </w:p>
    <w:p>
      <w:r>
        <w:br w:type="page"/>
      </w:r>
    </w:p>
    <w:p>
      <w:pPr>
        <w:keepNext/>
        <w:bidi/>
        <w:spacing w:before="240" w:after="100"/>
        <w:jc w:val="right"/>
        <w:pBdr>
          <w:bottom w:val="single" w:sz="10" w:space="4" w:color="19A7A0"/>
        </w:pBdr>
      </w:pPr>
      <w:r>
        <w:rPr>
          <w:rFonts w:ascii="Noto Sans Arabic" w:hAnsi="Noto Sans Arabic" w:cs="Noto Sans Arabic"/>
          <w:b/>
          <w:color w:val="132A45"/>
          <w:sz w:val="34"/>
          <w:rtl/>
        </w:rPr>
        <w:t>۶. نیازهای اصلی کاربران</w:t>
      </w:r>
    </w:p>
    <w:p>
      <w:pPr>
        <w:keepNext/>
        <w:bidi/>
        <w:spacing w:before="160" w:after="100"/>
        <w:jc w:val="right"/>
      </w:pPr>
      <w:r>
        <w:rPr>
          <w:rFonts w:ascii="Noto Sans Arabic" w:hAnsi="Noto Sans Arabic" w:cs="Noto Sans Arabic"/>
          <w:b/>
          <w:color w:val="1B4965"/>
          <w:sz w:val="28"/>
          <w:rtl/>
        </w:rPr>
        <w:t>۶.۱ کارهایی که کاربر می‌خواهد انجام دهد (Jobs to Be Done)</w:t>
      </w:r>
    </w:p>
    <w:tbl>
      <w:tblPr>
        <w:tblStyle w:val="TableGrid"/>
        <w:tblW w:type="auto" w:w="0"/>
        <w:jc w:val="center"/>
        <w:tblLayout w:type="autofit"/>
        <w:tblLook w:firstColumn="1" w:firstRow="1" w:lastColumn="0" w:lastRow="0" w:noHBand="0" w:noVBand="1" w:val="04A0"/>
      </w:tblPr>
      <w:tblGrid>
        <w:gridCol w:w="4933"/>
        <w:gridCol w:w="4933"/>
      </w:tblGrid>
      <w:tr>
        <w:trPr>
          <w:tblHeader w:val="true"/>
          <w:cantSplit/>
        </w:trPr>
        <w:tc>
          <w:tcPr>
            <w:tcW w:type="dxa" w:w="4933"/>
            <w:shd w:fill="132A45"/>
            <w:tcMar>
              <w:top w:w="90" w:type="dxa"/>
              <w:start w:w="110" w:type="dxa"/>
              <w:bottom w:w="90" w:type="dxa"/>
              <w:end w:w="110" w:type="dxa"/>
            </w:tcMar>
            <w:vAlign w:val="center"/>
          </w:tcPr>
          <w:p>
            <w:pPr>
              <w:bidi/>
              <w:jc w:val="right"/>
            </w:pPr>
            <w:r>
              <w:rPr>
                <w:rFonts w:ascii="Noto Sans Arabic" w:hAnsi="Noto Sans Arabic" w:cs="Noto Sans Arabic"/>
                <w:b/>
                <w:color w:val="FFFFFF"/>
                <w:sz w:val="18"/>
                <w:rtl/>
              </w:rPr>
              <w:t>پرسونا</w:t>
            </w:r>
          </w:p>
        </w:tc>
        <w:tc>
          <w:tcPr>
            <w:tcW w:type="dxa" w:w="4933"/>
            <w:shd w:fill="132A45"/>
            <w:tcMar>
              <w:top w:w="90" w:type="dxa"/>
              <w:start w:w="110" w:type="dxa"/>
              <w:bottom w:w="90" w:type="dxa"/>
              <w:end w:w="110" w:type="dxa"/>
            </w:tcMar>
            <w:vAlign w:val="center"/>
          </w:tcPr>
          <w:p>
            <w:pPr>
              <w:bidi/>
              <w:jc w:val="right"/>
            </w:pPr>
            <w:r>
              <w:rPr>
                <w:rFonts w:ascii="Noto Sans Arabic" w:hAnsi="Noto Sans Arabic" w:cs="Noto Sans Arabic"/>
                <w:b/>
                <w:color w:val="FFFFFF"/>
                <w:sz w:val="18"/>
                <w:rtl/>
              </w:rPr>
              <w:t>Job Story</w:t>
            </w:r>
          </w:p>
        </w:tc>
      </w:tr>
      <w:tr>
        <w:trPr>
          <w:cantSplit/>
        </w:trPr>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کاربر شخصی</w:t>
            </w:r>
          </w:p>
        </w:tc>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وقتی با یک مسئله حقوقی روبه‌رو می‌شوم، می‌خواهم بفهمم موضوع چیست، چه مدارکی لازم دارم و اولین اقدام کم‌ریسک کدام است.</w:t>
            </w:r>
          </w:p>
        </w:tc>
      </w:tr>
      <w:tr>
        <w:trPr>
          <w:cantSplit/>
        </w:trPr>
        <w:tc>
          <w:tcPr>
            <w:tcW w:type="dxa" w:w="4933"/>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کاربر شخصی</w:t>
            </w:r>
          </w:p>
        </w:tc>
        <w:tc>
          <w:tcPr>
            <w:tcW w:type="dxa" w:w="4933"/>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وقتی به قرارداد نیاز دارم، می‌خواهم یک پیش‌نویس متناسب با شرایط خود بسازم و بندهای پرریسک را بفهمم.</w:t>
            </w:r>
          </w:p>
        </w:tc>
      </w:tr>
      <w:tr>
        <w:trPr>
          <w:cantSplit/>
        </w:trPr>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کاربر شخصی</w:t>
            </w:r>
          </w:p>
        </w:tc>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وقتی AI کافی نیست، می‌خواهم بدون تکرار توضیحات و بارگذاری دوباره مدارک، به وکیل مناسب منتقل شوم.</w:t>
            </w:r>
          </w:p>
        </w:tc>
      </w:tr>
      <w:tr>
        <w:trPr>
          <w:cantSplit/>
        </w:trPr>
        <w:tc>
          <w:tcPr>
            <w:tcW w:type="dxa" w:w="4933"/>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وکیل</w:t>
            </w:r>
          </w:p>
        </w:tc>
        <w:tc>
          <w:tcPr>
            <w:tcW w:type="dxa" w:w="4933"/>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وقتی درخواست جدید دریافت می‌کنم، می‌خواهم اطلاعات و مدارک اولیه ساختارمند باشند تا سریع درباره پذیرش تصمیم بگیرم.</w:t>
            </w:r>
          </w:p>
        </w:tc>
      </w:tr>
      <w:tr>
        <w:trPr>
          <w:cantSplit/>
        </w:trPr>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وکیل</w:t>
            </w:r>
          </w:p>
        </w:tc>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وقتی پرونده را پیگیری می‌کنم، می‌خواهم مکالمه، اسناد، جلسه، کارها و پرداخت در یک محیط ثبت شوند.</w:t>
            </w:r>
          </w:p>
        </w:tc>
      </w:tr>
      <w:tr>
        <w:trPr>
          <w:cantSplit/>
        </w:trPr>
        <w:tc>
          <w:tcPr>
            <w:tcW w:type="dxa" w:w="4933"/>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کسب‌وکار</w:t>
            </w:r>
          </w:p>
        </w:tc>
        <w:tc>
          <w:tcPr>
            <w:tcW w:type="dxa" w:w="4933"/>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وقتی قراردادی ایجاد یا دریافت می‌کنم، می‌خواهم ریسک، تعهد، مالک و سررسیدهای آن قابل مشاهده و پیگیری باشند.</w:t>
            </w:r>
          </w:p>
        </w:tc>
      </w:tr>
    </w:tbl>
    <w:p>
      <w:pPr>
        <w:spacing w:after="20"/>
      </w:pPr>
    </w:p>
    <w:p>
      <w:pPr>
        <w:keepNext/>
        <w:bidi/>
        <w:spacing w:before="240" w:after="100"/>
        <w:jc w:val="right"/>
        <w:pBdr>
          <w:bottom w:val="single" w:sz="10" w:space="4" w:color="19A7A0"/>
        </w:pBdr>
      </w:pPr>
      <w:r>
        <w:rPr>
          <w:rFonts w:ascii="Noto Sans Arabic" w:hAnsi="Noto Sans Arabic" w:cs="Noto Sans Arabic"/>
          <w:b/>
          <w:color w:val="132A45"/>
          <w:sz w:val="34"/>
          <w:rtl/>
        </w:rPr>
        <w:t>۷. ارزش پیشنهادی</w:t>
      </w:r>
    </w:p>
    <w:p>
      <w:pPr>
        <w:keepNext/>
        <w:bidi/>
        <w:spacing w:before="160" w:after="100"/>
        <w:jc w:val="right"/>
      </w:pPr>
      <w:r>
        <w:rPr>
          <w:rFonts w:ascii="Noto Sans Arabic" w:hAnsi="Noto Sans Arabic" w:cs="Noto Sans Arabic"/>
          <w:b/>
          <w:color w:val="1B4965"/>
          <w:sz w:val="28"/>
          <w:rtl/>
        </w:rPr>
        <w:t>۷.۱ برای اشخاص</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تشخیص و دسته‌بندی اولیه موضوع از طریق پرسش‌های مرحله‌ای، نه یک کادر چت بدون ساختار.</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پاسخ ساده همراه با منابع، تاریخ اعتبار، ریسک‌ها و اقدام پیشنهادی.</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ساخت فضای پرونده و تبدیل مکالمه پراکنده به اطلاعات و مدارک منظم.</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دسترسی به وکیل متناسب با تخصص و امکان انتقال Context با رضایت کاربر.</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تولید، تحلیل، نسخه‌بندی و نگهداری قراردادها در یک محیط واحد.</w:t>
      </w:r>
    </w:p>
    <w:p>
      <w:pPr>
        <w:keepNext/>
        <w:bidi/>
        <w:spacing w:before="160" w:after="100"/>
        <w:jc w:val="right"/>
      </w:pPr>
      <w:r>
        <w:rPr>
          <w:rFonts w:ascii="Noto Sans Arabic" w:hAnsi="Noto Sans Arabic" w:cs="Noto Sans Arabic"/>
          <w:b/>
          <w:color w:val="1B4965"/>
          <w:sz w:val="28"/>
          <w:rtl/>
        </w:rPr>
        <w:t>۷.۲ برای وکلا</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بازارگاه مبتنی بر تخصص و درخواست واقعی به‌جای صرفاً فهرست پروفایل‌ها.</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فرم ورودی و پرونده اولیه استاندارد برای کاهش زمان Intake.</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تقویم، جلسه، پیام، مدارک، کارها، صورتحساب و تسویه در یک پنل.</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AI به‌عنوان دستیار آماده‌سازی و بازیابی، نه جایگزین تصمیم حرفه‌ای.</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ردپای ممیزی از خروجی‌های AI و امکان اصلاح و تأیید انسانی.</w:t>
      </w:r>
    </w:p>
    <w:p>
      <w:pPr>
        <w:keepNext/>
        <w:bidi/>
        <w:spacing w:before="160" w:after="100"/>
        <w:jc w:val="right"/>
      </w:pPr>
      <w:r>
        <w:rPr>
          <w:rFonts w:ascii="Noto Sans Arabic" w:hAnsi="Noto Sans Arabic" w:cs="Noto Sans Arabic"/>
          <w:b/>
          <w:color w:val="1B4965"/>
          <w:sz w:val="28"/>
          <w:rtl/>
        </w:rPr>
        <w:t>۷.۳ برای کسب‌وکارها</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کتابخانه قرارداد و بندهای استاندارد متناسب با سیاست سازمان.</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تحلیل ریسک، استخراج تعهدات و یادآوری سررسیدها.</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مدیریت اعضا، نقش‌ها، تأییدها و دسترسی بر مبنای پرونده یا سند.</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دسترسی موردی یا اشتراکی به وکلای متخصص و ثبت تاریخچه خدمت.</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گزارش مدیریتی از وضعیت قراردادها، پرونده‌ها، ریسک‌ها و هزینه حقوقی.</w:t>
      </w:r>
    </w:p>
    <w:p>
      <w:pPr>
        <w:keepNext/>
        <w:bidi/>
        <w:spacing w:before="240" w:after="100"/>
        <w:jc w:val="right"/>
        <w:pBdr>
          <w:bottom w:val="single" w:sz="10" w:space="4" w:color="19A7A0"/>
        </w:pBdr>
      </w:pPr>
      <w:r>
        <w:rPr>
          <w:rFonts w:ascii="Noto Sans Arabic" w:hAnsi="Noto Sans Arabic" w:cs="Noto Sans Arabic"/>
          <w:b/>
          <w:color w:val="132A45"/>
          <w:sz w:val="34"/>
          <w:rtl/>
        </w:rPr>
        <w:t>۸. ستون‌های راهبردی محصول</w:t>
      </w:r>
    </w:p>
    <w:p>
      <w:pPr>
        <w:keepNext/>
        <w:bidi/>
        <w:spacing w:after="60"/>
        <w:jc w:val="right"/>
      </w:pPr>
      <w:r>
        <w:rPr>
          <w:rFonts w:ascii="Noto Sans Arabic" w:hAnsi="Noto Sans Arabic" w:cs="Noto Sans Arabic"/>
          <w:b/>
          <w:color w:val="19A7A0"/>
          <w:sz w:val="22"/>
          <w:rtl/>
        </w:rPr>
        <w:t xml:space="preserve">۱. </w:t>
      </w:r>
      <w:r>
        <w:rPr>
          <w:rFonts w:ascii="Noto Sans Arabic" w:hAnsi="Noto Sans Arabic" w:cs="Noto Sans Arabic"/>
          <w:b/>
          <w:color w:val="132A45"/>
          <w:sz w:val="22"/>
          <w:rtl/>
        </w:rPr>
        <w:t>راهنمایی حقوقی هوشمند و مستند</w:t>
      </w:r>
      <w:r>
        <w:rPr>
          <w:rFonts w:ascii="Noto Sans Arabic" w:hAnsi="Noto Sans Arabic" w:cs="Noto Sans Arabic"/>
          <w:b w:val="0"/>
          <w:sz w:val="21"/>
          <w:rtl/>
        </w:rPr>
        <w:t xml:space="preserve"> — گفت‌وگوی مرحله‌ای، تشخیص حوزه، جمع‌آوری واقعیت‌ها، بازیابی منابع، پاسخ ساختاریافته و ارجاع در موارد پرریسک.</w:t>
      </w:r>
    </w:p>
    <w:p>
      <w:pPr>
        <w:keepNext/>
        <w:bidi/>
        <w:spacing w:after="60"/>
        <w:jc w:val="right"/>
      </w:pPr>
      <w:r>
        <w:rPr>
          <w:rFonts w:ascii="Noto Sans Arabic" w:hAnsi="Noto Sans Arabic" w:cs="Noto Sans Arabic"/>
          <w:b/>
          <w:color w:val="19A7A0"/>
          <w:sz w:val="22"/>
          <w:rtl/>
        </w:rPr>
        <w:t xml:space="preserve">۲. </w:t>
      </w:r>
      <w:r>
        <w:rPr>
          <w:rFonts w:ascii="Noto Sans Arabic" w:hAnsi="Noto Sans Arabic" w:cs="Noto Sans Arabic"/>
          <w:b/>
          <w:color w:val="132A45"/>
          <w:sz w:val="22"/>
          <w:rtl/>
        </w:rPr>
        <w:t>اسناد و قراردادهای قابل مدیریت</w:t>
      </w:r>
      <w:r>
        <w:rPr>
          <w:rFonts w:ascii="Noto Sans Arabic" w:hAnsi="Noto Sans Arabic" w:cs="Noto Sans Arabic"/>
          <w:b w:val="0"/>
          <w:sz w:val="21"/>
          <w:rtl/>
        </w:rPr>
        <w:t xml:space="preserve"> — ایجاد، تحلیل، ویرایش، نسخه‌بندی، خروجی، امضا/تأیید و یادآوری تعهدات و تمدیدها.</w:t>
      </w:r>
    </w:p>
    <w:p>
      <w:pPr>
        <w:keepNext/>
        <w:bidi/>
        <w:spacing w:after="60"/>
        <w:jc w:val="right"/>
      </w:pPr>
      <w:r>
        <w:rPr>
          <w:rFonts w:ascii="Noto Sans Arabic" w:hAnsi="Noto Sans Arabic" w:cs="Noto Sans Arabic"/>
          <w:b/>
          <w:color w:val="19A7A0"/>
          <w:sz w:val="22"/>
          <w:rtl/>
        </w:rPr>
        <w:t xml:space="preserve">۳. </w:t>
      </w:r>
      <w:r>
        <w:rPr>
          <w:rFonts w:ascii="Noto Sans Arabic" w:hAnsi="Noto Sans Arabic" w:cs="Noto Sans Arabic"/>
          <w:b/>
          <w:color w:val="132A45"/>
          <w:sz w:val="22"/>
          <w:rtl/>
        </w:rPr>
        <w:t>شبکه متخصصان احراز‌شده</w:t>
      </w:r>
      <w:r>
        <w:rPr>
          <w:rFonts w:ascii="Noto Sans Arabic" w:hAnsi="Noto Sans Arabic" w:cs="Noto Sans Arabic"/>
          <w:b w:val="0"/>
          <w:sz w:val="21"/>
          <w:rtl/>
        </w:rPr>
        <w:t xml:space="preserve"> — پروفایل حرفه‌ای، تخصص، ظرفیت، تعرفه، رزرو، جلسه، تضاد منافع، ارزیابی و تسویه.</w:t>
      </w:r>
    </w:p>
    <w:p>
      <w:pPr>
        <w:keepNext/>
        <w:bidi/>
        <w:spacing w:after="60"/>
        <w:jc w:val="right"/>
      </w:pPr>
      <w:r>
        <w:rPr>
          <w:rFonts w:ascii="Noto Sans Arabic" w:hAnsi="Noto Sans Arabic" w:cs="Noto Sans Arabic"/>
          <w:b/>
          <w:color w:val="19A7A0"/>
          <w:sz w:val="22"/>
          <w:rtl/>
        </w:rPr>
        <w:t xml:space="preserve">۴. </w:t>
      </w:r>
      <w:r>
        <w:rPr>
          <w:rFonts w:ascii="Noto Sans Arabic" w:hAnsi="Noto Sans Arabic" w:cs="Noto Sans Arabic"/>
          <w:b/>
          <w:color w:val="132A45"/>
          <w:sz w:val="22"/>
          <w:rtl/>
        </w:rPr>
        <w:t>پرونده و فضای کار مشترک</w:t>
      </w:r>
      <w:r>
        <w:rPr>
          <w:rFonts w:ascii="Noto Sans Arabic" w:hAnsi="Noto Sans Arabic" w:cs="Noto Sans Arabic"/>
          <w:b w:val="0"/>
          <w:sz w:val="21"/>
          <w:rtl/>
        </w:rPr>
        <w:t xml:space="preserve"> — تایم‌لاین، مدارک، مکالمات، کارها، جلسه‌ها، دسترسی‌ها، رضایت‌ها و Audit Log.</w:t>
      </w:r>
    </w:p>
    <w:p>
      <w:pPr>
        <w:keepNext/>
        <w:bidi/>
        <w:spacing w:after="60"/>
        <w:jc w:val="right"/>
      </w:pPr>
      <w:r>
        <w:rPr>
          <w:rFonts w:ascii="Noto Sans Arabic" w:hAnsi="Noto Sans Arabic" w:cs="Noto Sans Arabic"/>
          <w:b/>
          <w:color w:val="19A7A0"/>
          <w:sz w:val="22"/>
          <w:rtl/>
        </w:rPr>
        <w:t xml:space="preserve">۵. </w:t>
      </w:r>
      <w:r>
        <w:rPr>
          <w:rFonts w:ascii="Noto Sans Arabic" w:hAnsi="Noto Sans Arabic" w:cs="Noto Sans Arabic"/>
          <w:b/>
          <w:color w:val="132A45"/>
          <w:sz w:val="22"/>
          <w:rtl/>
        </w:rPr>
        <w:t>موتور دانش حقوقی ایران</w:t>
      </w:r>
      <w:r>
        <w:rPr>
          <w:rFonts w:ascii="Noto Sans Arabic" w:hAnsi="Noto Sans Arabic" w:cs="Noto Sans Arabic"/>
          <w:b w:val="0"/>
          <w:sz w:val="21"/>
          <w:rtl/>
        </w:rPr>
        <w:t xml:space="preserve"> — منابع رسمی یا معتبر، نسخه زمانی، روابط میان قوانین، آرای وحدت رویه، نظریات و قالب‌های حقوقی.</w:t>
      </w:r>
    </w:p>
    <w:p>
      <w:pPr>
        <w:keepNext/>
        <w:bidi/>
        <w:spacing w:after="60"/>
        <w:jc w:val="right"/>
      </w:pPr>
      <w:r>
        <w:rPr>
          <w:rFonts w:ascii="Noto Sans Arabic" w:hAnsi="Noto Sans Arabic" w:cs="Noto Sans Arabic"/>
          <w:b/>
          <w:color w:val="19A7A0"/>
          <w:sz w:val="22"/>
          <w:rtl/>
        </w:rPr>
        <w:t xml:space="preserve">۶. </w:t>
      </w:r>
      <w:r>
        <w:rPr>
          <w:rFonts w:ascii="Noto Sans Arabic" w:hAnsi="Noto Sans Arabic" w:cs="Noto Sans Arabic"/>
          <w:b/>
          <w:color w:val="132A45"/>
          <w:sz w:val="22"/>
          <w:rtl/>
        </w:rPr>
        <w:t>اعتماد، امنیت و حاکمیت AI</w:t>
      </w:r>
      <w:r>
        <w:rPr>
          <w:rFonts w:ascii="Noto Sans Arabic" w:hAnsi="Noto Sans Arabic" w:cs="Noto Sans Arabic"/>
          <w:b w:val="0"/>
          <w:sz w:val="21"/>
          <w:rtl/>
        </w:rPr>
        <w:t xml:space="preserve"> — حداقل‌گرایی داده، کنترل دسترسی، محرمانگی، ارزیابی مستمر، Human Review و پاسخ‌گویی سازمانی.</w:t>
      </w:r>
    </w:p>
    <w:p>
      <w:r>
        <w:br w:type="page"/>
      </w:r>
    </w:p>
    <w:p>
      <w:pPr>
        <w:keepNext/>
        <w:bidi/>
        <w:spacing w:before="240" w:after="100"/>
        <w:jc w:val="right"/>
        <w:pBdr>
          <w:bottom w:val="single" w:sz="10" w:space="4" w:color="19A7A0"/>
        </w:pBdr>
      </w:pPr>
      <w:r>
        <w:rPr>
          <w:rFonts w:ascii="Noto Sans Arabic" w:hAnsi="Noto Sans Arabic" w:cs="Noto Sans Arabic"/>
          <w:b/>
          <w:color w:val="132A45"/>
          <w:sz w:val="34"/>
          <w:rtl/>
        </w:rPr>
        <w:t>۹. تجربه مطلوب انتها به انتها</w:t>
      </w:r>
    </w:p>
    <w:p>
      <w:pPr>
        <w:bidi/>
        <w:spacing w:line="324" w:lineRule="auto" w:after="80"/>
        <w:ind w:firstLine="255"/>
        <w:jc w:val="right"/>
      </w:pPr>
      <w:r>
        <w:rPr>
          <w:rFonts w:ascii="Noto Sans Arabic" w:hAnsi="Noto Sans Arabic" w:cs="Noto Sans Arabic"/>
          <w:b w:val="0"/>
          <w:sz w:val="21"/>
          <w:rtl/>
        </w:rPr>
        <w:t>تجربه اصلی محصول باید از «ابهام» آغاز و به «اقدام قابل پیگیری» ختم شود. کاربر نباید مجبور باشد از ابتدا بداند نام حقوقی مشکل او چیست. محصول ابتدا موضوع را کشف می‌کند، سپس اطلاعات و اسناد لازم را جمع‌آوری می‌کند، خروجی قابل فهم ارائه می‌دهد و در نهایت یکی از مسیرهای اقدام را فعال می‌سازد.</w:t>
      </w:r>
    </w:p>
    <w:tbl>
      <w:tblPr>
        <w:tblStyle w:val="TableGrid"/>
        <w:tblW w:type="auto" w:w="0"/>
        <w:jc w:val="center"/>
        <w:tblLayout w:type="autofit"/>
        <w:tblLook w:firstColumn="1" w:firstRow="1" w:lastColumn="0" w:lastRow="0" w:noHBand="0" w:noVBand="1" w:val="04A0"/>
      </w:tblPr>
      <w:tblGrid>
        <w:gridCol w:w="4933"/>
        <w:gridCol w:w="4933"/>
      </w:tblGrid>
      <w:tr>
        <w:trPr>
          <w:tblHeader w:val="true"/>
          <w:cantSplit/>
        </w:trPr>
        <w:tc>
          <w:tcPr>
            <w:tcW w:type="dxa" w:w="4933"/>
            <w:shd w:fill="132A45"/>
            <w:tcMar>
              <w:top w:w="90" w:type="dxa"/>
              <w:start w:w="110" w:type="dxa"/>
              <w:bottom w:w="90" w:type="dxa"/>
              <w:end w:w="110" w:type="dxa"/>
            </w:tcMar>
            <w:vAlign w:val="center"/>
          </w:tcPr>
          <w:p>
            <w:pPr>
              <w:bidi/>
              <w:jc w:val="right"/>
            </w:pPr>
            <w:r>
              <w:rPr>
                <w:rFonts w:ascii="Noto Sans Arabic" w:hAnsi="Noto Sans Arabic" w:cs="Noto Sans Arabic"/>
                <w:b/>
                <w:color w:val="FFFFFF"/>
                <w:sz w:val="18"/>
                <w:rtl/>
              </w:rPr>
              <w:t>مرحله</w:t>
            </w:r>
          </w:p>
        </w:tc>
        <w:tc>
          <w:tcPr>
            <w:tcW w:type="dxa" w:w="4933"/>
            <w:shd w:fill="132A45"/>
            <w:tcMar>
              <w:top w:w="90" w:type="dxa"/>
              <w:start w:w="110" w:type="dxa"/>
              <w:bottom w:w="90" w:type="dxa"/>
              <w:end w:w="110" w:type="dxa"/>
            </w:tcMar>
            <w:vAlign w:val="center"/>
          </w:tcPr>
          <w:p>
            <w:pPr>
              <w:bidi/>
              <w:jc w:val="right"/>
            </w:pPr>
            <w:r>
              <w:rPr>
                <w:rFonts w:ascii="Noto Sans Arabic" w:hAnsi="Noto Sans Arabic" w:cs="Noto Sans Arabic"/>
                <w:b/>
                <w:color w:val="FFFFFF"/>
                <w:sz w:val="18"/>
                <w:rtl/>
              </w:rPr>
              <w:t>تجربه مورد انتظار</w:t>
            </w:r>
          </w:p>
        </w:tc>
      </w:tr>
      <w:tr>
        <w:trPr>
          <w:cantSplit/>
        </w:trPr>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۱. شروع</w:t>
            </w:r>
          </w:p>
        </w:tc>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انتخاب هدف یا توضیح آزاد مسئله، اعلام شفاف حدود AI و اخذ رضایت‌های لازم</w:t>
            </w:r>
          </w:p>
        </w:tc>
      </w:tr>
      <w:tr>
        <w:trPr>
          <w:cantSplit/>
        </w:trPr>
        <w:tc>
          <w:tcPr>
            <w:tcW w:type="dxa" w:w="4933"/>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۲. Intake هوشمند</w:t>
            </w:r>
          </w:p>
        </w:tc>
        <w:tc>
          <w:tcPr>
            <w:tcW w:type="dxa" w:w="4933"/>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پرسش‌های مرحله‌ای، تشخیص حوزه، طرفین، زمان‌ها، مبلغ‌ها، مدارک و فوریت</w:t>
            </w:r>
          </w:p>
        </w:tc>
      </w:tr>
      <w:tr>
        <w:trPr>
          <w:cantSplit/>
        </w:trPr>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۳. سازمان‌دهی</w:t>
            </w:r>
          </w:p>
        </w:tc>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ساخت خلاصه وقایع، تایم‌لاین، فهرست مدارک و موارد نامشخص برای تأیید کاربر</w:t>
            </w:r>
          </w:p>
        </w:tc>
      </w:tr>
      <w:tr>
        <w:trPr>
          <w:cantSplit/>
        </w:trPr>
        <w:tc>
          <w:tcPr>
            <w:tcW w:type="dxa" w:w="4933"/>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۴. تحلیل</w:t>
            </w:r>
          </w:p>
        </w:tc>
        <w:tc>
          <w:tcPr>
            <w:tcW w:type="dxa" w:w="4933"/>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بازیابی منابع مرتبط، بیان گزینه‌ها، ریسک‌ها، محدودیت‌ها و سطح اطمینان</w:t>
            </w:r>
          </w:p>
        </w:tc>
      </w:tr>
      <w:tr>
        <w:trPr>
          <w:cantSplit/>
        </w:trPr>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۵. خروجی</w:t>
            </w:r>
          </w:p>
        </w:tc>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راهنمای اقدام، چک‌لیست، پیش‌نویس سند، گزارش تحلیل یا پیشنهاد ارجاع</w:t>
            </w:r>
          </w:p>
        </w:tc>
      </w:tr>
      <w:tr>
        <w:trPr>
          <w:cantSplit/>
        </w:trPr>
        <w:tc>
          <w:tcPr>
            <w:tcW w:type="dxa" w:w="4933"/>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۶. اقدام</w:t>
            </w:r>
          </w:p>
        </w:tc>
        <w:tc>
          <w:tcPr>
            <w:tcW w:type="dxa" w:w="4933"/>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ذخیره پرونده، رزرو وکیل، پرداخت، ارسال سند، ایجاد یادآور یا ادامه گردش کار</w:t>
            </w:r>
          </w:p>
        </w:tc>
      </w:tr>
      <w:tr>
        <w:trPr>
          <w:cantSplit/>
        </w:trPr>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۷. پیگیری</w:t>
            </w:r>
          </w:p>
        </w:tc>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ثبت وضعیت، تغییرات، نسخه‌ها، جلسه‌ها، پیام‌ها، تعهدات و بازخورد</w:t>
            </w:r>
          </w:p>
        </w:tc>
      </w:tr>
    </w:tbl>
    <w:p>
      <w:pPr>
        <w:spacing w:after="20"/>
      </w:pPr>
    </w:p>
    <w:p>
      <w:pPr>
        <w:keepNext/>
        <w:bidi/>
        <w:spacing w:before="240" w:after="100"/>
        <w:jc w:val="right"/>
        <w:pBdr>
          <w:bottom w:val="single" w:sz="10" w:space="4" w:color="19A7A0"/>
        </w:pBdr>
      </w:pPr>
      <w:r>
        <w:rPr>
          <w:rFonts w:ascii="Noto Sans Arabic" w:hAnsi="Noto Sans Arabic" w:cs="Noto Sans Arabic"/>
          <w:b/>
          <w:color w:val="132A45"/>
          <w:sz w:val="34"/>
          <w:rtl/>
        </w:rPr>
        <w:t>۱۰. دامنه و مرزهای محصول</w:t>
      </w:r>
    </w:p>
    <w:p>
      <w:pPr>
        <w:keepNext/>
        <w:bidi/>
        <w:spacing w:before="160" w:after="100"/>
        <w:jc w:val="right"/>
      </w:pPr>
      <w:r>
        <w:rPr>
          <w:rFonts w:ascii="Noto Sans Arabic" w:hAnsi="Noto Sans Arabic" w:cs="Noto Sans Arabic"/>
          <w:b/>
          <w:color w:val="1B4965"/>
          <w:sz w:val="28"/>
          <w:rtl/>
        </w:rPr>
        <w:t>۱۰.۱ LEGALIR در افق محصول چه چیزهایی است؟</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پلتفرم دریافت و مدیریت خدمات حقوقی دیجیتال.</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دستیار هوشمند برای اطلاعات عمومی، آماده‌سازی، خلاصه‌سازی، بازیابی و تولید پیش‌نویس.</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بستر همکاری میان کاربر، سازمان و وکیل احراز‌شده.</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سامانه دانش حقوقی با ارجاع و نسخه زمانی منابع.</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سامانه قرارداد و در آینده مدیریت چرخه عمر قرارداد برای کسب‌وکارها.</w:t>
      </w:r>
    </w:p>
    <w:p>
      <w:pPr>
        <w:keepNext/>
        <w:bidi/>
        <w:spacing w:before="160" w:after="100"/>
        <w:jc w:val="right"/>
      </w:pPr>
      <w:r>
        <w:rPr>
          <w:rFonts w:ascii="Noto Sans Arabic" w:hAnsi="Noto Sans Arabic" w:cs="Noto Sans Arabic"/>
          <w:b/>
          <w:color w:val="1B4965"/>
          <w:sz w:val="28"/>
          <w:rtl/>
        </w:rPr>
        <w:t>۱۰.۲ LEGALIR چه چیزهایی نیست؟</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یک مدل زبانی عمومی با پوسته گرافیکی.</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جایگزین وکیل در ارائه نظر حرفه‌ای قطعی، نمایندگی قضایی یا تصمیم‌های پرریسک.</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سامانه‌ای برای تضمین نتیجه دعوا یا پیش‌بینی قطعی رأی مرجع قضایی.</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مخزن بدون کنترل از قوانین و نمونه اسناد نامعتبر یا بدون تاریخ.</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شبکه اجتماعی برای انتشار عمومی اختلافات، اسناد یا اطلاعات محرمانه کاربران.</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ابزاری برای دور زدن مراجع رسمی، احراز هویت، الزامات حرفه‌ای یا مقررات پرداخت.</w:t>
      </w:r>
    </w:p>
    <w:p>
      <w:pPr>
        <w:keepNext/>
        <w:bidi/>
        <w:spacing w:before="240" w:after="100"/>
        <w:jc w:val="right"/>
        <w:pBdr>
          <w:bottom w:val="single" w:sz="10" w:space="4" w:color="19A7A0"/>
        </w:pBdr>
      </w:pPr>
      <w:r>
        <w:rPr>
          <w:rFonts w:ascii="Noto Sans Arabic" w:hAnsi="Noto Sans Arabic" w:cs="Noto Sans Arabic"/>
          <w:b/>
          <w:color w:val="132A45"/>
          <w:sz w:val="34"/>
          <w:rtl/>
        </w:rPr>
        <w:t>۱۱. موضع محصول درباره هوش مصنوعی و مسئولیت حقوقی</w:t>
      </w:r>
    </w:p>
    <w:p>
      <w:pPr>
        <w:bidi/>
        <w:spacing w:line="324" w:lineRule="auto" w:after="80"/>
        <w:ind w:firstLine="255"/>
        <w:jc w:val="right"/>
      </w:pPr>
      <w:r>
        <w:rPr>
          <w:rFonts w:ascii="Noto Sans Arabic" w:hAnsi="Noto Sans Arabic" w:cs="Noto Sans Arabic"/>
          <w:b w:val="0"/>
          <w:sz w:val="21"/>
          <w:rtl/>
        </w:rPr>
        <w:t>هوش مصنوعی در LEGALIR باید «لایه کمک به فهم و انجام کار» باشد. محصول نباید از زبان یا طراحی‌ای استفاده کند که خروجی AI را حکم، رأی، تضمین یا نظر قطعی وکیل معرفی کند. سطح خودکارسازی باید بر اساس ریسک سناریو تعیین شود.</w:t>
      </w:r>
    </w:p>
    <w:tbl>
      <w:tblPr>
        <w:tblStyle w:val="TableGrid"/>
        <w:tblW w:type="auto" w:w="0"/>
        <w:jc w:val="center"/>
        <w:tblLayout w:type="autofit"/>
        <w:tblLook w:firstColumn="1" w:firstRow="1" w:lastColumn="0" w:lastRow="0" w:noHBand="0" w:noVBand="1" w:val="04A0"/>
      </w:tblPr>
      <w:tblGrid>
        <w:gridCol w:w="3289"/>
        <w:gridCol w:w="3289"/>
        <w:gridCol w:w="3289"/>
      </w:tblGrid>
      <w:tr>
        <w:trPr>
          <w:tblHeader w:val="true"/>
          <w:cantSplit/>
        </w:trPr>
        <w:tc>
          <w:tcPr>
            <w:tcW w:type="dxa" w:w="3289"/>
            <w:shd w:fill="132A45"/>
            <w:tcMar>
              <w:top w:w="90" w:type="dxa"/>
              <w:start w:w="110" w:type="dxa"/>
              <w:bottom w:w="90" w:type="dxa"/>
              <w:end w:w="110" w:type="dxa"/>
            </w:tcMar>
            <w:vAlign w:val="center"/>
          </w:tcPr>
          <w:p>
            <w:pPr>
              <w:bidi/>
              <w:jc w:val="right"/>
            </w:pPr>
            <w:r>
              <w:rPr>
                <w:rFonts w:ascii="Noto Sans Arabic" w:hAnsi="Noto Sans Arabic" w:cs="Noto Sans Arabic"/>
                <w:b/>
                <w:color w:val="FFFFFF"/>
                <w:sz w:val="18"/>
                <w:rtl/>
              </w:rPr>
              <w:t>سطح</w:t>
            </w:r>
          </w:p>
        </w:tc>
        <w:tc>
          <w:tcPr>
            <w:tcW w:type="dxa" w:w="3289"/>
            <w:shd w:fill="132A45"/>
            <w:tcMar>
              <w:top w:w="90" w:type="dxa"/>
              <w:start w:w="110" w:type="dxa"/>
              <w:bottom w:w="90" w:type="dxa"/>
              <w:end w:w="110" w:type="dxa"/>
            </w:tcMar>
            <w:vAlign w:val="center"/>
          </w:tcPr>
          <w:p>
            <w:pPr>
              <w:bidi/>
              <w:jc w:val="right"/>
            </w:pPr>
            <w:r>
              <w:rPr>
                <w:rFonts w:ascii="Noto Sans Arabic" w:hAnsi="Noto Sans Arabic" w:cs="Noto Sans Arabic"/>
                <w:b/>
                <w:color w:val="FFFFFF"/>
                <w:sz w:val="18"/>
                <w:rtl/>
              </w:rPr>
              <w:t>نوع استفاده</w:t>
            </w:r>
          </w:p>
        </w:tc>
        <w:tc>
          <w:tcPr>
            <w:tcW w:type="dxa" w:w="3289"/>
            <w:shd w:fill="132A45"/>
            <w:tcMar>
              <w:top w:w="90" w:type="dxa"/>
              <w:start w:w="110" w:type="dxa"/>
              <w:bottom w:w="90" w:type="dxa"/>
              <w:end w:w="110" w:type="dxa"/>
            </w:tcMar>
            <w:vAlign w:val="center"/>
          </w:tcPr>
          <w:p>
            <w:pPr>
              <w:bidi/>
              <w:jc w:val="right"/>
            </w:pPr>
            <w:r>
              <w:rPr>
                <w:rFonts w:ascii="Noto Sans Arabic" w:hAnsi="Noto Sans Arabic" w:cs="Noto Sans Arabic"/>
                <w:b/>
                <w:color w:val="FFFFFF"/>
                <w:sz w:val="18"/>
                <w:rtl/>
              </w:rPr>
              <w:t>سیاست محصول</w:t>
            </w:r>
          </w:p>
        </w:tc>
      </w:tr>
      <w:tr>
        <w:trPr>
          <w:cantSplit/>
        </w:trPr>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ریسک پایین</w:t>
            </w:r>
          </w:p>
        </w:tc>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توضیح مفهوم، چک‌لیست عمومی، خلاصه‌سازی متن غیرحساس</w:t>
            </w:r>
          </w:p>
        </w:tc>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خروجی مستقیم با منبع و هشدار مختصر</w:t>
            </w:r>
          </w:p>
        </w:tc>
      </w:tr>
      <w:tr>
        <w:trPr>
          <w:cantSplit/>
        </w:trPr>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ریسک متوسط</w:t>
            </w:r>
          </w:p>
        </w:tc>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تحلیل قرارداد، پیشنهاد بند، مسیر اقدام عمومی</w:t>
            </w:r>
          </w:p>
        </w:tc>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نیازمند تأیید واقعیت‌ها، نمایش عدم قطعیت و توصیه به بررسی متخصص</w:t>
            </w:r>
          </w:p>
        </w:tc>
      </w:tr>
      <w:tr>
        <w:trPr>
          <w:cantSplit/>
        </w:trPr>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ریسک بالا</w:t>
            </w:r>
          </w:p>
        </w:tc>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کیفری، مهلت‌های حساس، حقوق بنیادین، اقدام قضایی، نتیجه پرونده</w:t>
            </w:r>
          </w:p>
        </w:tc>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محدودسازی پاسخ، هشدار برجسته و ارجاع سریع به وکیل</w:t>
            </w:r>
          </w:p>
        </w:tc>
      </w:tr>
      <w:tr>
        <w:trPr>
          <w:cantSplit/>
        </w:trPr>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خدمت رسمی</w:t>
            </w:r>
          </w:p>
        </w:tc>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وکالت، امضای نظر حرفه‌ای، لایحه نهایی، حضور در مراجع</w:t>
            </w:r>
          </w:p>
        </w:tc>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صرفاً توسط شخص دارای صلاحیت و پس از احراز هویت و پذیرش خدمت</w:t>
            </w:r>
          </w:p>
        </w:tc>
      </w:tr>
    </w:tbl>
    <w:p>
      <w:pPr>
        <w:spacing w:after="20"/>
      </w:pPr>
    </w:p>
    <w:p>
      <w:pPr>
        <w:keepNext/>
        <w:bidi/>
        <w:spacing w:before="160" w:after="100"/>
        <w:jc w:val="right"/>
      </w:pPr>
      <w:r>
        <w:rPr>
          <w:rFonts w:ascii="Noto Sans Arabic" w:hAnsi="Noto Sans Arabic" w:cs="Noto Sans Arabic"/>
          <w:b/>
          <w:color w:val="1B4965"/>
          <w:sz w:val="28"/>
          <w:rtl/>
        </w:rPr>
        <w:t>۱۱.۱ قواعد غیرقابل مذاکره AI</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هر ادعای حقوقی مهم باید تا حد امکان به منبع قابل مشاهده و تاریخ‌دار متصل باشد.</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در نبود منبع کافی، سیستم باید عدم قطعیت را اعلام کند و پاسخ قطعی نسازد.</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منابع بازیابی‌شده باید با تاریخ واقعه و حوزه قضایی پرونده تطبیق داده شوند.</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پیش از تحلیل، خلاصه واقعیت‌های فهم‌شده برای تأیید کاربر نمایش داده شود.</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AI حق ندارد خود را وکیل، قاضی، کارشناس رسمی یا مرجع دولتی معرفی کند.</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تصمیم‌های پرریسک باید قابلیت Human Review، توقف و گزارش داشته باشند.</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همه نسخه‌های Prompt، مدل، منبع و خروجی‌های حساس باید برای ممیزی ثبت شوند، بدون ثبت غیرضروری داده محرمانه در Log.</w:t>
      </w:r>
    </w:p>
    <w:p>
      <w:pPr>
        <w:keepNext/>
        <w:bidi/>
        <w:spacing w:before="240" w:after="100"/>
        <w:jc w:val="right"/>
        <w:pBdr>
          <w:bottom w:val="single" w:sz="10" w:space="4" w:color="19A7A0"/>
        </w:pBdr>
      </w:pPr>
      <w:r>
        <w:rPr>
          <w:rFonts w:ascii="Noto Sans Arabic" w:hAnsi="Noto Sans Arabic" w:cs="Noto Sans Arabic"/>
          <w:b/>
          <w:color w:val="132A45"/>
          <w:sz w:val="34"/>
          <w:rtl/>
        </w:rPr>
        <w:t>۱۲. اصول اعتماد، امنیت و محرمانگی</w:t>
      </w:r>
    </w:p>
    <w:p>
      <w:pPr>
        <w:keepNext/>
        <w:bidi/>
        <w:spacing w:after="60"/>
        <w:jc w:val="right"/>
      </w:pPr>
      <w:r>
        <w:rPr>
          <w:rFonts w:ascii="Noto Sans Arabic" w:hAnsi="Noto Sans Arabic" w:cs="Noto Sans Arabic"/>
          <w:b/>
          <w:color w:val="19A7A0"/>
          <w:sz w:val="22"/>
          <w:rtl/>
        </w:rPr>
        <w:t xml:space="preserve">۱. </w:t>
      </w:r>
      <w:r>
        <w:rPr>
          <w:rFonts w:ascii="Noto Sans Arabic" w:hAnsi="Noto Sans Arabic" w:cs="Noto Sans Arabic"/>
          <w:b/>
          <w:color w:val="132A45"/>
          <w:sz w:val="22"/>
          <w:rtl/>
        </w:rPr>
        <w:t>Privacy by Design</w:t>
      </w:r>
      <w:r>
        <w:rPr>
          <w:rFonts w:ascii="Noto Sans Arabic" w:hAnsi="Noto Sans Arabic" w:cs="Noto Sans Arabic"/>
          <w:b w:val="0"/>
          <w:sz w:val="21"/>
          <w:rtl/>
        </w:rPr>
        <w:t xml:space="preserve"> — جمع‌آوری حداقل داده لازم، هدف مشخص، رضایت قابل مدیریت و محدودیت نگهداری.</w:t>
      </w:r>
    </w:p>
    <w:p>
      <w:pPr>
        <w:keepNext/>
        <w:bidi/>
        <w:spacing w:after="60"/>
        <w:jc w:val="right"/>
      </w:pPr>
      <w:r>
        <w:rPr>
          <w:rFonts w:ascii="Noto Sans Arabic" w:hAnsi="Noto Sans Arabic" w:cs="Noto Sans Arabic"/>
          <w:b/>
          <w:color w:val="19A7A0"/>
          <w:sz w:val="22"/>
          <w:rtl/>
        </w:rPr>
        <w:t xml:space="preserve">۲. </w:t>
      </w:r>
      <w:r>
        <w:rPr>
          <w:rFonts w:ascii="Noto Sans Arabic" w:hAnsi="Noto Sans Arabic" w:cs="Noto Sans Arabic"/>
          <w:b/>
          <w:color w:val="132A45"/>
          <w:sz w:val="22"/>
          <w:rtl/>
        </w:rPr>
        <w:t>Confidential by Default</w:t>
      </w:r>
      <w:r>
        <w:rPr>
          <w:rFonts w:ascii="Noto Sans Arabic" w:hAnsi="Noto Sans Arabic" w:cs="Noto Sans Arabic"/>
          <w:b w:val="0"/>
          <w:sz w:val="21"/>
          <w:rtl/>
        </w:rPr>
        <w:t xml:space="preserve"> — پرونده، سند و گفت‌وگو به‌صورت پیش‌فرض خصوصی است و اشتراک‌گذاری نیازمند مجوز صریح است.</w:t>
      </w:r>
    </w:p>
    <w:p>
      <w:pPr>
        <w:keepNext/>
        <w:bidi/>
        <w:spacing w:after="60"/>
        <w:jc w:val="right"/>
      </w:pPr>
      <w:r>
        <w:rPr>
          <w:rFonts w:ascii="Noto Sans Arabic" w:hAnsi="Noto Sans Arabic" w:cs="Noto Sans Arabic"/>
          <w:b/>
          <w:color w:val="19A7A0"/>
          <w:sz w:val="22"/>
          <w:rtl/>
        </w:rPr>
        <w:t xml:space="preserve">۳. </w:t>
      </w:r>
      <w:r>
        <w:rPr>
          <w:rFonts w:ascii="Noto Sans Arabic" w:hAnsi="Noto Sans Arabic" w:cs="Noto Sans Arabic"/>
          <w:b/>
          <w:color w:val="132A45"/>
          <w:sz w:val="22"/>
          <w:rtl/>
        </w:rPr>
        <w:t>Least Privilege</w:t>
      </w:r>
      <w:r>
        <w:rPr>
          <w:rFonts w:ascii="Noto Sans Arabic" w:hAnsi="Noto Sans Arabic" w:cs="Noto Sans Arabic"/>
          <w:b w:val="0"/>
          <w:sz w:val="21"/>
          <w:rtl/>
        </w:rPr>
        <w:t xml:space="preserve"> — هر کاربر، وکیل، کارمند یا سرویس فقط به داده لازم برای وظیفه خود دسترسی دارد.</w:t>
      </w:r>
    </w:p>
    <w:p>
      <w:pPr>
        <w:keepNext/>
        <w:bidi/>
        <w:spacing w:after="60"/>
        <w:jc w:val="right"/>
      </w:pPr>
      <w:r>
        <w:rPr>
          <w:rFonts w:ascii="Noto Sans Arabic" w:hAnsi="Noto Sans Arabic" w:cs="Noto Sans Arabic"/>
          <w:b/>
          <w:color w:val="19A7A0"/>
          <w:sz w:val="22"/>
          <w:rtl/>
        </w:rPr>
        <w:t xml:space="preserve">۴. </w:t>
      </w:r>
      <w:r>
        <w:rPr>
          <w:rFonts w:ascii="Noto Sans Arabic" w:hAnsi="Noto Sans Arabic" w:cs="Noto Sans Arabic"/>
          <w:b/>
          <w:color w:val="132A45"/>
          <w:sz w:val="22"/>
          <w:rtl/>
        </w:rPr>
        <w:t>Verifiable Outputs</w:t>
      </w:r>
      <w:r>
        <w:rPr>
          <w:rFonts w:ascii="Noto Sans Arabic" w:hAnsi="Noto Sans Arabic" w:cs="Noto Sans Arabic"/>
          <w:b w:val="0"/>
          <w:sz w:val="21"/>
          <w:rtl/>
        </w:rPr>
        <w:t xml:space="preserve"> — منبع، زمان، نسخه و مسیر تولید خروجی‌های مهم قابل مشاهده و ممیزی است.</w:t>
      </w:r>
    </w:p>
    <w:p>
      <w:pPr>
        <w:keepNext/>
        <w:bidi/>
        <w:spacing w:after="60"/>
        <w:jc w:val="right"/>
      </w:pPr>
      <w:r>
        <w:rPr>
          <w:rFonts w:ascii="Noto Sans Arabic" w:hAnsi="Noto Sans Arabic" w:cs="Noto Sans Arabic"/>
          <w:b/>
          <w:color w:val="19A7A0"/>
          <w:sz w:val="22"/>
          <w:rtl/>
        </w:rPr>
        <w:t xml:space="preserve">۵. </w:t>
      </w:r>
      <w:r>
        <w:rPr>
          <w:rFonts w:ascii="Noto Sans Arabic" w:hAnsi="Noto Sans Arabic" w:cs="Noto Sans Arabic"/>
          <w:b/>
          <w:color w:val="132A45"/>
          <w:sz w:val="22"/>
          <w:rtl/>
        </w:rPr>
        <w:t>Secure Evidence Handling</w:t>
      </w:r>
      <w:r>
        <w:rPr>
          <w:rFonts w:ascii="Noto Sans Arabic" w:hAnsi="Noto Sans Arabic" w:cs="Noto Sans Arabic"/>
          <w:b w:val="0"/>
          <w:sz w:val="21"/>
          <w:rtl/>
        </w:rPr>
        <w:t xml:space="preserve"> — فایل اصلی، Hash، نسخه‌ها و رویدادهای مرتبط به نحوی نگهداری می‌شوند که تغییرات قابل ردیابی باشند.</w:t>
      </w:r>
    </w:p>
    <w:p>
      <w:pPr>
        <w:keepNext/>
        <w:bidi/>
        <w:spacing w:after="60"/>
        <w:jc w:val="right"/>
      </w:pPr>
      <w:r>
        <w:rPr>
          <w:rFonts w:ascii="Noto Sans Arabic" w:hAnsi="Noto Sans Arabic" w:cs="Noto Sans Arabic"/>
          <w:b/>
          <w:color w:val="19A7A0"/>
          <w:sz w:val="22"/>
          <w:rtl/>
        </w:rPr>
        <w:t xml:space="preserve">۶. </w:t>
      </w:r>
      <w:r>
        <w:rPr>
          <w:rFonts w:ascii="Noto Sans Arabic" w:hAnsi="Noto Sans Arabic" w:cs="Noto Sans Arabic"/>
          <w:b/>
          <w:color w:val="132A45"/>
          <w:sz w:val="22"/>
          <w:rtl/>
        </w:rPr>
        <w:t>User Control</w:t>
      </w:r>
      <w:r>
        <w:rPr>
          <w:rFonts w:ascii="Noto Sans Arabic" w:hAnsi="Noto Sans Arabic" w:cs="Noto Sans Arabic"/>
          <w:b w:val="0"/>
          <w:sz w:val="21"/>
          <w:rtl/>
        </w:rPr>
        <w:t xml:space="preserve"> — کاربر می‌داند چه داده‌ای به AI، وکیل یا سازمان منتقل می‌شود و تا حد قانونی کنترل دارد.</w:t>
      </w:r>
    </w:p>
    <w:p>
      <w:pPr>
        <w:keepNext/>
        <w:bidi/>
        <w:spacing w:after="60"/>
        <w:jc w:val="right"/>
      </w:pPr>
      <w:r>
        <w:rPr>
          <w:rFonts w:ascii="Noto Sans Arabic" w:hAnsi="Noto Sans Arabic" w:cs="Noto Sans Arabic"/>
          <w:b/>
          <w:color w:val="19A7A0"/>
          <w:sz w:val="22"/>
          <w:rtl/>
        </w:rPr>
        <w:t xml:space="preserve">۷. </w:t>
      </w:r>
      <w:r>
        <w:rPr>
          <w:rFonts w:ascii="Noto Sans Arabic" w:hAnsi="Noto Sans Arabic" w:cs="Noto Sans Arabic"/>
          <w:b/>
          <w:color w:val="132A45"/>
          <w:sz w:val="22"/>
          <w:rtl/>
        </w:rPr>
        <w:t>Incident Readiness</w:t>
      </w:r>
      <w:r>
        <w:rPr>
          <w:rFonts w:ascii="Noto Sans Arabic" w:hAnsi="Noto Sans Arabic" w:cs="Noto Sans Arabic"/>
          <w:b w:val="0"/>
          <w:sz w:val="21"/>
          <w:rtl/>
        </w:rPr>
        <w:t xml:space="preserve"> — نشت، دسترسی غیرمجاز، خروجی خطرناک و خطای عملیاتی دارای فرایند پاسخ، اطلاع‌رسانی و اصلاح است.</w:t>
      </w:r>
    </w:p>
    <w:p>
      <w:pPr>
        <w:keepNext/>
        <w:bidi/>
        <w:spacing w:before="240" w:after="100"/>
        <w:jc w:val="right"/>
        <w:pBdr>
          <w:bottom w:val="single" w:sz="10" w:space="4" w:color="19A7A0"/>
        </w:pBdr>
      </w:pPr>
      <w:r>
        <w:rPr>
          <w:rFonts w:ascii="Noto Sans Arabic" w:hAnsi="Noto Sans Arabic" w:cs="Noto Sans Arabic"/>
          <w:b/>
          <w:color w:val="132A45"/>
          <w:sz w:val="34"/>
          <w:rtl/>
        </w:rPr>
        <w:t>۱۳. مبنای حقوقی اولیه در ایران</w:t>
      </w:r>
    </w:p>
    <w:p>
      <w:pPr>
        <w:bidi/>
        <w:spacing w:line="324" w:lineRule="auto" w:after="80"/>
        <w:ind w:firstLine="255"/>
        <w:jc w:val="right"/>
      </w:pPr>
      <w:r>
        <w:rPr>
          <w:rFonts w:ascii="Noto Sans Arabic" w:hAnsi="Noto Sans Arabic" w:cs="Noto Sans Arabic"/>
          <w:b w:val="0"/>
          <w:sz w:val="21"/>
          <w:rtl/>
        </w:rPr>
        <w:t>این بخش تنها «نقشه اولیه انطباق» برای هدایت محصول است. قوانین مرتبط با LEGALIR پراکنده‌اند و دامنه شمول هرکدام به مدل حقوقی شرکت، نقش آن در ارائه خدمت، نوع داده، قرارداد با وکلا، محل میزبانی، شیوه پرداخت و قابلیت‌های نهایی وابسته است. در نتیجه، در فاز Legal Scope باید مواد مرتبط به‌صورت دقیق تنقیح و به کنترل‌های محصول نگاشت شوند.</w:t>
      </w:r>
    </w:p>
    <w:p>
      <w:r>
        <w:br w:type="page"/>
      </w:r>
    </w:p>
    <w:tbl>
      <w:tblPr>
        <w:tblStyle w:val="TableGrid"/>
        <w:tblW w:type="auto" w:w="0"/>
        <w:jc w:val="center"/>
        <w:tblLayout w:type="autofit"/>
        <w:tblLook w:firstColumn="1" w:firstRow="1" w:lastColumn="0" w:lastRow="0" w:noHBand="0" w:noVBand="1" w:val="04A0"/>
      </w:tblPr>
      <w:tblGrid>
        <w:gridCol w:w="3289"/>
        <w:gridCol w:w="3289"/>
        <w:gridCol w:w="3289"/>
      </w:tblGrid>
      <w:tr>
        <w:trPr>
          <w:tblHeader w:val="true"/>
          <w:cantSplit/>
        </w:trPr>
        <w:tc>
          <w:tcPr>
            <w:tcW w:type="dxa" w:w="3289"/>
            <w:shd w:fill="132A45"/>
            <w:tcMar>
              <w:top w:w="90" w:type="dxa"/>
              <w:start w:w="110" w:type="dxa"/>
              <w:bottom w:w="90" w:type="dxa"/>
              <w:end w:w="110" w:type="dxa"/>
            </w:tcMar>
            <w:vAlign w:val="center"/>
          </w:tcPr>
          <w:p>
            <w:pPr>
              <w:bidi/>
              <w:jc w:val="right"/>
            </w:pPr>
            <w:r>
              <w:rPr>
                <w:rFonts w:ascii="Noto Sans Arabic" w:hAnsi="Noto Sans Arabic" w:cs="Noto Sans Arabic"/>
                <w:b/>
                <w:color w:val="FFFFFF"/>
                <w:sz w:val="16"/>
                <w:rtl/>
              </w:rPr>
              <w:t>منبع</w:t>
            </w:r>
          </w:p>
        </w:tc>
        <w:tc>
          <w:tcPr>
            <w:tcW w:type="dxa" w:w="3289"/>
            <w:shd w:fill="132A45"/>
            <w:tcMar>
              <w:top w:w="90" w:type="dxa"/>
              <w:start w:w="110" w:type="dxa"/>
              <w:bottom w:w="90" w:type="dxa"/>
              <w:end w:w="110" w:type="dxa"/>
            </w:tcMar>
            <w:vAlign w:val="center"/>
          </w:tcPr>
          <w:p>
            <w:pPr>
              <w:bidi/>
              <w:jc w:val="right"/>
            </w:pPr>
            <w:r>
              <w:rPr>
                <w:rFonts w:ascii="Noto Sans Arabic" w:hAnsi="Noto Sans Arabic" w:cs="Noto Sans Arabic"/>
                <w:b/>
                <w:color w:val="FFFFFF"/>
                <w:sz w:val="16"/>
                <w:rtl/>
              </w:rPr>
              <w:t>موضوع مرتبط</w:t>
            </w:r>
          </w:p>
        </w:tc>
        <w:tc>
          <w:tcPr>
            <w:tcW w:type="dxa" w:w="3289"/>
            <w:shd w:fill="132A45"/>
            <w:tcMar>
              <w:top w:w="90" w:type="dxa"/>
              <w:start w:w="110" w:type="dxa"/>
              <w:bottom w:w="90" w:type="dxa"/>
              <w:end w:w="110" w:type="dxa"/>
            </w:tcMar>
            <w:vAlign w:val="center"/>
          </w:tcPr>
          <w:p>
            <w:pPr>
              <w:bidi/>
              <w:jc w:val="right"/>
            </w:pPr>
            <w:r>
              <w:rPr>
                <w:rFonts w:ascii="Noto Sans Arabic" w:hAnsi="Noto Sans Arabic" w:cs="Noto Sans Arabic"/>
                <w:b/>
                <w:color w:val="FFFFFF"/>
                <w:sz w:val="16"/>
                <w:rtl/>
              </w:rPr>
              <w:t>اثر اولیه بر محصول</w:t>
            </w:r>
          </w:p>
        </w:tc>
      </w:tr>
      <w:tr>
        <w:trPr>
          <w:cantSplit/>
        </w:trPr>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6"/>
                <w:rtl/>
              </w:rPr>
              <w:t>قانون تجارت الکترونیکی ۱۳۸۲</w:t>
            </w:r>
          </w:p>
        </w:tc>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6"/>
                <w:rtl/>
              </w:rPr>
              <w:t>داده‌پیام، اعتبار ارتباطات الکترونیکی، امضای الکترونیکی، الزامات معامله و حمایت از مصرف‌کننده در بستر الکترونیکی</w:t>
            </w:r>
          </w:p>
        </w:tc>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6"/>
                <w:rtl/>
              </w:rPr>
              <w:t>رضایت و شرایط استفاده، ثبت رویداد، قرارداد آنلاین، نسخه قابل استناد و سیاست امضای الکترونیکی</w:t>
            </w:r>
          </w:p>
        </w:tc>
      </w:tr>
      <w:tr>
        <w:trPr>
          <w:cantSplit/>
        </w:trPr>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6"/>
                <w:rtl/>
              </w:rPr>
              <w:t>قانون جرایم رایانه‌ای ۱۳۸۸ و متن تنقیحی تعزیرات</w:t>
            </w:r>
          </w:p>
        </w:tc>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6"/>
                <w:rtl/>
              </w:rPr>
              <w:t>دسترسی غیرمجاز، محرمانگی، تمامیت داده و برخی تکالیف مرتبط با داده‌های رایانه‌ای</w:t>
            </w:r>
          </w:p>
        </w:tc>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6"/>
                <w:rtl/>
              </w:rPr>
              <w:t>امنیت حساب، کنترل دسترسی، رمزنگاری، مانیتورینگ، پاسخ به رخداد و جلوگیری از دستکاری</w:t>
            </w:r>
          </w:p>
        </w:tc>
      </w:tr>
      <w:tr>
        <w:trPr>
          <w:cantSplit/>
        </w:trPr>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6"/>
                <w:rtl/>
              </w:rPr>
              <w:t>آیین‌نامه جمع‌آوری و استنادپذیری ادله الکترونیکی ۱۳۹۳</w:t>
            </w:r>
          </w:p>
        </w:tc>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6"/>
                <w:rtl/>
              </w:rPr>
              <w:t>حفظ صحت، تمامیت، محرمانگی و انکارناپذیری داده‌ها و ثبت فرایندهای مرتبط</w:t>
            </w:r>
          </w:p>
        </w:tc>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6"/>
                <w:rtl/>
              </w:rPr>
              <w:t>Chain of Custody، نگهداری نسخه اصلی، Hash، ثبت تغییرات و فرایند ارائه قانونی داده</w:t>
            </w:r>
          </w:p>
        </w:tc>
      </w:tr>
      <w:tr>
        <w:trPr>
          <w:cantSplit/>
        </w:trPr>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6"/>
                <w:rtl/>
              </w:rPr>
              <w:t>قانون انتشار و دسترسی آزاد به اطلاعات ۱۳۸۷</w:t>
            </w:r>
          </w:p>
        </w:tc>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6"/>
                <w:rtl/>
              </w:rPr>
              <w:t>تعریف اطلاعات شخصی و ملاحظات دسترسی به اطلاعات</w:t>
            </w:r>
          </w:p>
        </w:tc>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6"/>
                <w:rtl/>
              </w:rPr>
              <w:t>طبقه‌بندی داده، جلوگیری از افشای اطلاعات شخصی و طراحی کنترل درخواست‌های اطلاعاتی</w:t>
            </w:r>
          </w:p>
        </w:tc>
      </w:tr>
      <w:tr>
        <w:trPr>
          <w:cantSplit/>
        </w:trPr>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6"/>
                <w:rtl/>
              </w:rPr>
              <w:t>قانون حمایت از حقوق مصرف‌کنندگان ۱۳۸۸</w:t>
            </w:r>
          </w:p>
        </w:tc>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6"/>
                <w:rtl/>
              </w:rPr>
              <w:t>حقوق دریافت‌کننده خدمت و مسئولیت عرضه‌کننده خدمت</w:t>
            </w:r>
          </w:p>
        </w:tc>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6"/>
                <w:rtl/>
              </w:rPr>
              <w:t>شفافیت خدمت و قیمت، شکایت، بازپرداخت، کیفیت و تعهدات پشتیبانی</w:t>
            </w:r>
          </w:p>
        </w:tc>
      </w:tr>
      <w:tr>
        <w:trPr>
          <w:cantSplit/>
        </w:trPr>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6"/>
                <w:rtl/>
              </w:rPr>
              <w:t>آیین‌نامه اجرایی لایحه استقلال کانون وکلا ۱۴۰۰ با اصلاحات ۱۴۰۲</w:t>
            </w:r>
          </w:p>
        </w:tc>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6"/>
                <w:rtl/>
              </w:rPr>
              <w:t>جایگاه وکیل، حق ارائه مشاوره و چارچوب حرفه‌ای و انتظامی</w:t>
            </w:r>
          </w:p>
        </w:tc>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6"/>
                <w:rtl/>
              </w:rPr>
              <w:t>احراز وکیل، اعتبار پروانه، نمایش صحیح تخصص، ارجاع و مرزبندی خدمت AI و وکیل</w:t>
            </w:r>
          </w:p>
        </w:tc>
      </w:tr>
      <w:tr>
        <w:trPr>
          <w:cantSplit/>
        </w:trPr>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6"/>
                <w:rtl/>
              </w:rPr>
              <w:t>قانون مدیریت داده‌ها و اطلاعات ملی ۱۴۰۱</w:t>
            </w:r>
          </w:p>
        </w:tc>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6"/>
                <w:rtl/>
              </w:rPr>
              <w:t>ملاحظات امنیت، محرمانگی و صیانت از داده‌های شخصی در محدوده نهادهای مشمول و تبادل داده ملی</w:t>
            </w:r>
          </w:p>
        </w:tc>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6"/>
                <w:rtl/>
              </w:rPr>
              <w:t>بررسی شمول در یکپارچه‌سازی با نهادهای عمومی و رعایت سطوح دسترسی</w:t>
            </w:r>
          </w:p>
        </w:tc>
      </w:tr>
      <w:tr>
        <w:trPr>
          <w:cantSplit/>
        </w:trPr>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6"/>
                <w:rtl/>
              </w:rPr>
              <w:t>سند ملی هوش مصنوعی ۱۴۰۳</w:t>
            </w:r>
          </w:p>
        </w:tc>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6"/>
                <w:rtl/>
              </w:rPr>
              <w:t>راهبری و توسعه زیست‌بوم هوش مصنوعی و جهت‌گیری‌های ملی</w:t>
            </w:r>
          </w:p>
        </w:tc>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6"/>
                <w:rtl/>
              </w:rPr>
              <w:t>هم‌راستایی کلان، پایش مقررات و آمادگی برای الزامات آتی حکمرانی AI</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F3F0FF"/>
            <w:tcMar>
              <w:top w:w="160" w:type="dxa"/>
              <w:start w:w="200" w:type="dxa"/>
              <w:bottom w:w="160" w:type="dxa"/>
              <w:end w:w="200" w:type="dxa"/>
            </w:tcMar>
            <w:tcBorders>
              <w:top w:val="single" w:sz="8" w:color="7B61A8"/>
              <w:left w:val="single" w:sz="8" w:color="7B61A8"/>
              <w:bottom w:val="single" w:sz="8" w:color="7B61A8"/>
              <w:right w:val="single" w:sz="8" w:color="7B61A8"/>
            </w:tcBorders>
          </w:tcPr>
          <w:p>
            <w:pPr>
              <w:bidi/>
              <w:jc w:val="right"/>
            </w:pPr>
            <w:r>
              <w:rPr>
                <w:rFonts w:ascii="Noto Sans Arabic" w:hAnsi="Noto Sans Arabic" w:cs="Noto Sans Arabic"/>
                <w:b/>
                <w:color w:val="132A45"/>
                <w:sz w:val="22"/>
                <w:rtl/>
              </w:rPr>
              <w:t>اصل طراحی حقوقی</w:t>
              <w:br/>
            </w:r>
            <w:r>
              <w:rPr>
                <w:rFonts w:ascii="Noto Sans Arabic" w:hAnsi="Noto Sans Arabic" w:cs="Noto Sans Arabic"/>
                <w:b w:val="0"/>
                <w:color w:val="1F2937"/>
                <w:sz w:val="20"/>
                <w:rtl/>
              </w:rPr>
              <w:t>هر الزام حقوقی باید در اسناد بعدی به یکی از این خروجی‌ها تبدیل شود: Business Rule، کنترل UI، کنترل Backend، الزام امنیتی، متن رضایت/قرارداد، Audit Event، سیاست نگهداری یا Test Case.</w:t>
            </w:r>
          </w:p>
        </w:tc>
      </w:tr>
    </w:tbl>
    <w:p>
      <w:pPr>
        <w:spacing w:after="20"/>
      </w:pPr>
    </w:p>
    <w:p>
      <w:pPr>
        <w:keepNext/>
        <w:bidi/>
        <w:spacing w:before="240" w:after="100"/>
        <w:jc w:val="right"/>
        <w:pBdr>
          <w:bottom w:val="single" w:sz="10" w:space="4" w:color="19A7A0"/>
        </w:pBdr>
      </w:pPr>
      <w:r>
        <w:rPr>
          <w:rFonts w:ascii="Noto Sans Arabic" w:hAnsi="Noto Sans Arabic" w:cs="Noto Sans Arabic"/>
          <w:b/>
          <w:color w:val="132A45"/>
          <w:sz w:val="34"/>
          <w:rtl/>
        </w:rPr>
        <w:t>۱۴. مدل کسب‌وکار در سطح چشم‌انداز</w:t>
      </w:r>
    </w:p>
    <w:p>
      <w:pPr>
        <w:bidi/>
        <w:spacing w:line="324" w:lineRule="auto" w:after="80"/>
        <w:ind w:firstLine="255"/>
        <w:jc w:val="right"/>
      </w:pPr>
      <w:r>
        <w:rPr>
          <w:rFonts w:ascii="Noto Sans Arabic" w:hAnsi="Noto Sans Arabic" w:cs="Noto Sans Arabic"/>
          <w:b w:val="0"/>
          <w:sz w:val="21"/>
          <w:rtl/>
        </w:rPr>
        <w:t>مدل درآمدی باید با اعتماد حقوقی سازگار باشد. محصول نباید برای افزایش درآمد، ریسک کاربر را بزرگ‌نمایی کند یا ارجاع غیرضروری ایجاد کند. قیمت و کمیسیون باید پیش از اقدام کاربر شفاف باشد و تضاد منافع در پیشنهاد وکیل کنترل شود.</w:t>
      </w:r>
    </w:p>
    <w:p>
      <w:r>
        <w:br w:type="page"/>
      </w:r>
    </w:p>
    <w:tbl>
      <w:tblPr>
        <w:tblStyle w:val="TableGrid"/>
        <w:tblW w:type="auto" w:w="0"/>
        <w:jc w:val="center"/>
        <w:tblLayout w:type="autofit"/>
        <w:tblLook w:firstColumn="1" w:firstRow="1" w:lastColumn="0" w:lastRow="0" w:noHBand="0" w:noVBand="1" w:val="04A0"/>
      </w:tblPr>
      <w:tblGrid>
        <w:gridCol w:w="3289"/>
        <w:gridCol w:w="3289"/>
        <w:gridCol w:w="3289"/>
      </w:tblGrid>
      <w:tr>
        <w:trPr>
          <w:tblHeader w:val="true"/>
          <w:cantSplit/>
        </w:trPr>
        <w:tc>
          <w:tcPr>
            <w:tcW w:type="dxa" w:w="3289"/>
            <w:shd w:fill="132A45"/>
            <w:tcMar>
              <w:top w:w="90" w:type="dxa"/>
              <w:start w:w="110" w:type="dxa"/>
              <w:bottom w:w="90" w:type="dxa"/>
              <w:end w:w="110" w:type="dxa"/>
            </w:tcMar>
            <w:vAlign w:val="center"/>
          </w:tcPr>
          <w:p>
            <w:pPr>
              <w:bidi/>
              <w:jc w:val="right"/>
            </w:pPr>
            <w:r>
              <w:rPr>
                <w:rFonts w:ascii="Noto Sans Arabic" w:hAnsi="Noto Sans Arabic" w:cs="Noto Sans Arabic"/>
                <w:b/>
                <w:color w:val="FFFFFF"/>
                <w:sz w:val="18"/>
                <w:rtl/>
              </w:rPr>
              <w:t>مسیر درآمد</w:t>
            </w:r>
          </w:p>
        </w:tc>
        <w:tc>
          <w:tcPr>
            <w:tcW w:type="dxa" w:w="3289"/>
            <w:shd w:fill="132A45"/>
            <w:tcMar>
              <w:top w:w="90" w:type="dxa"/>
              <w:start w:w="110" w:type="dxa"/>
              <w:bottom w:w="90" w:type="dxa"/>
              <w:end w:w="110" w:type="dxa"/>
            </w:tcMar>
            <w:vAlign w:val="center"/>
          </w:tcPr>
          <w:p>
            <w:pPr>
              <w:bidi/>
              <w:jc w:val="right"/>
            </w:pPr>
            <w:r>
              <w:rPr>
                <w:rFonts w:ascii="Noto Sans Arabic" w:hAnsi="Noto Sans Arabic" w:cs="Noto Sans Arabic"/>
                <w:b/>
                <w:color w:val="FFFFFF"/>
                <w:sz w:val="18"/>
                <w:rtl/>
              </w:rPr>
              <w:t>مشتری</w:t>
            </w:r>
          </w:p>
        </w:tc>
        <w:tc>
          <w:tcPr>
            <w:tcW w:type="dxa" w:w="3289"/>
            <w:shd w:fill="132A45"/>
            <w:tcMar>
              <w:top w:w="90" w:type="dxa"/>
              <w:start w:w="110" w:type="dxa"/>
              <w:bottom w:w="90" w:type="dxa"/>
              <w:end w:w="110" w:type="dxa"/>
            </w:tcMar>
            <w:vAlign w:val="center"/>
          </w:tcPr>
          <w:p>
            <w:pPr>
              <w:bidi/>
              <w:jc w:val="right"/>
            </w:pPr>
            <w:r>
              <w:rPr>
                <w:rFonts w:ascii="Noto Sans Arabic" w:hAnsi="Noto Sans Arabic" w:cs="Noto Sans Arabic"/>
                <w:b/>
                <w:color w:val="FFFFFF"/>
                <w:sz w:val="18"/>
                <w:rtl/>
              </w:rPr>
              <w:t>نمونه ارزش فروخته‌شده</w:t>
            </w:r>
          </w:p>
        </w:tc>
      </w:tr>
      <w:tr>
        <w:trPr>
          <w:cantSplit/>
        </w:trPr>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Freemium</w:t>
            </w:r>
          </w:p>
        </w:tc>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کاربر شخصی</w:t>
            </w:r>
          </w:p>
        </w:tc>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راهنمایی اولیه محدود، نمونه ساده و دسترسی محدود به دانش</w:t>
            </w:r>
          </w:p>
        </w:tc>
      </w:tr>
      <w:tr>
        <w:trPr>
          <w:cantSplit/>
        </w:trPr>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پرداخت موردی</w:t>
            </w:r>
          </w:p>
        </w:tc>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شخص و کسب‌وکار</w:t>
            </w:r>
          </w:p>
        </w:tc>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تولید یا تحلیل سند، جلسه، بررسی وکیل یا خدمت مشخص</w:t>
            </w:r>
          </w:p>
        </w:tc>
      </w:tr>
      <w:tr>
        <w:trPr>
          <w:cantSplit/>
        </w:trPr>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اشتراک شخصی</w:t>
            </w:r>
          </w:p>
        </w:tc>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کاربر پرتکرار</w:t>
            </w:r>
          </w:p>
        </w:tc>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تعداد بیشتر تحلیل، ذخیره پرونده، امکانات پیشرفته و پشتیبانی</w:t>
            </w:r>
          </w:p>
        </w:tc>
      </w:tr>
      <w:tr>
        <w:trPr>
          <w:cantSplit/>
        </w:trPr>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اشتراک حرفه‌ای</w:t>
            </w:r>
          </w:p>
        </w:tc>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وکیل و مؤسسه</w:t>
            </w:r>
          </w:p>
        </w:tc>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پنل پرونده، ابزارهای AI، مدیریت جلسه، پرداخت و جذب درخواست</w:t>
            </w:r>
          </w:p>
        </w:tc>
      </w:tr>
      <w:tr>
        <w:trPr>
          <w:cantSplit/>
        </w:trPr>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کمیسیون بازارگاه</w:t>
            </w:r>
          </w:p>
        </w:tc>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وکیل/کاربر</w:t>
            </w:r>
          </w:p>
        </w:tc>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زیرساخت رزرو، پرداخت، اعتماد، پشتیبانی و حل اختلاف خدمت</w:t>
            </w:r>
          </w:p>
        </w:tc>
      </w:tr>
      <w:tr>
        <w:trPr>
          <w:cantSplit/>
        </w:trPr>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اشتراک سازمانی</w:t>
            </w:r>
          </w:p>
        </w:tc>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شرکت‌ها</w:t>
            </w:r>
          </w:p>
        </w:tc>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کاربران تیمی، قراردادها، تعهدات، گردش کار، گزارش و دسترسی به متخصص</w:t>
            </w:r>
          </w:p>
        </w:tc>
      </w:tr>
      <w:tr>
        <w:trPr>
          <w:cantSplit/>
        </w:trPr>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API و راهکار اختصاصی - آینده</w:t>
            </w:r>
          </w:p>
        </w:tc>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سازمان‌های بزرگ</w:t>
            </w:r>
          </w:p>
        </w:tc>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اتصال دانش، تحلیل اسناد و گردش‌های حقوقی به سامانه‌های سازمان</w:t>
            </w:r>
          </w:p>
        </w:tc>
      </w:tr>
    </w:tbl>
    <w:p>
      <w:pPr>
        <w:spacing w:after="20"/>
      </w:pPr>
    </w:p>
    <w:p>
      <w:pPr>
        <w:keepNext/>
        <w:bidi/>
        <w:spacing w:before="240" w:after="100"/>
        <w:jc w:val="right"/>
        <w:pBdr>
          <w:bottom w:val="single" w:sz="10" w:space="4" w:color="19A7A0"/>
        </w:pBdr>
      </w:pPr>
      <w:r>
        <w:rPr>
          <w:rFonts w:ascii="Noto Sans Arabic" w:hAnsi="Noto Sans Arabic" w:cs="Noto Sans Arabic"/>
          <w:b/>
          <w:color w:val="132A45"/>
          <w:sz w:val="34"/>
          <w:rtl/>
        </w:rPr>
        <w:t>۱۵. تمایز رقابتی</w:t>
      </w:r>
    </w:p>
    <w:p>
      <w:pPr>
        <w:bidi/>
        <w:spacing w:line="324" w:lineRule="auto" w:after="80"/>
        <w:ind w:firstLine="255"/>
        <w:jc w:val="right"/>
      </w:pPr>
      <w:r>
        <w:rPr>
          <w:rFonts w:ascii="Noto Sans Arabic" w:hAnsi="Noto Sans Arabic" w:cs="Noto Sans Arabic"/>
          <w:b w:val="0"/>
          <w:sz w:val="21"/>
          <w:rtl/>
        </w:rPr>
        <w:t>تمایز پایدار LEGALIR نباید صرفاً از مدل زبانی یا ظاهر رابط کاربری حاصل شود؛ این اجزا قابل تکرارند. مزیت واقعی باید از دارایی‌های دشوارتر برای تقلید ساخته شود:</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موتور دانش حقوقی ایران با منابع نسخه‌بندی‌شده، فراداده و شبکه ارتباط میان قوانین و رویه‌ها.</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فرایند Intake و Workflow اختصاصی هر حوزه حقوقی، طراحی‌شده با مشارکت وکلا.</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داده ارزیابی‌شده و ناشناس از کیفیت پاسخ، ارجاع و نتیجه عملیات برای بهبود مستمر.</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شبکه وکلای احراز‌شده و تجربه انتقال یکپارچه Context از AI به انسان.</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کنترل‌های اعتماد: استناد، سطح اطمینان، Human Review، Audit و سیاست‌های روشن مسئولیت.</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فضای پرونده و قرارداد که ارزش خود را در طول زمان افزایش می‌دهد و صرفاً پاسخ لحظه‌ای نیست.</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زبان، تجربه و محتوای بومی فارسی و سازگار با واقعیت حقوقی و اداری ایران.</w:t>
      </w:r>
    </w:p>
    <w:p>
      <w:pPr>
        <w:keepNext/>
        <w:bidi/>
        <w:spacing w:before="240" w:after="100"/>
        <w:jc w:val="right"/>
        <w:pBdr>
          <w:bottom w:val="single" w:sz="10" w:space="4" w:color="19A7A0"/>
        </w:pBdr>
      </w:pPr>
      <w:r>
        <w:rPr>
          <w:rFonts w:ascii="Noto Sans Arabic" w:hAnsi="Noto Sans Arabic" w:cs="Noto Sans Arabic"/>
          <w:b/>
          <w:color w:val="132A45"/>
          <w:sz w:val="34"/>
          <w:rtl/>
        </w:rPr>
        <w:t>۱۶. افق نسخه‌ها</w:t>
      </w:r>
    </w:p>
    <w:p>
      <w:pPr>
        <w:keepNext/>
        <w:bidi/>
        <w:spacing w:before="160" w:after="100"/>
        <w:jc w:val="right"/>
      </w:pPr>
      <w:r>
        <w:rPr>
          <w:rFonts w:ascii="Noto Sans Arabic" w:hAnsi="Noto Sans Arabic" w:cs="Noto Sans Arabic"/>
          <w:b/>
          <w:color w:val="1B4965"/>
          <w:sz w:val="28"/>
          <w:rtl/>
        </w:rPr>
        <w:t>۱۶.۱ MVP قابل عرضه محدود</w:t>
      </w:r>
    </w:p>
    <w:p>
      <w:pPr>
        <w:bidi/>
        <w:spacing w:line="324" w:lineRule="auto" w:after="80"/>
        <w:ind w:firstLine="255"/>
        <w:jc w:val="right"/>
      </w:pPr>
      <w:r>
        <w:rPr>
          <w:rFonts w:ascii="Noto Sans Arabic" w:hAnsi="Noto Sans Arabic" w:cs="Noto Sans Arabic"/>
          <w:b w:val="0"/>
          <w:sz w:val="21"/>
          <w:rtl/>
        </w:rPr>
        <w:t>MVP باید یک محصول واقعی و ایمن باشد، نه نمایشی که کنترل‌های اساسی را به آینده موکول کند. پیشنهاد Product Vision برای MVP:</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ثبت‌نام، ورود، احراز پایه و مدیریت رضایت و شرایط استفاده.</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مشاوره AI ساختاریافته در ۲ تا ۳ حوزه محدود و پرتکرار با RAG و ارجاع منبع.</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قراردادساز برای تعداد محدودی قرارداد استاندارد و امکان خروجی Word/PDF.</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فهرست و پروفایل وکلای احراز‌شده، درخواست مشاوره و رزرو جلسه.</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پنل ساده وکیل برای درخواست، جلسه، پیام و مدارک.</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پرداخت، صورتحساب، اعلان و پشتیبانی پایه.</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کنسول مدیریت برای کاربران، وکلا، محتوا، خروجی AI، شکایت و Audit.</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کنترل‌های پایه امنیتی، ارزیابی AI، ثبت منبع و فرایند گزارش خروجی خطرناک.</w:t>
      </w:r>
    </w:p>
    <w:p>
      <w:pPr>
        <w:keepNext/>
        <w:bidi/>
        <w:spacing w:before="160" w:after="100"/>
        <w:jc w:val="right"/>
      </w:pPr>
      <w:r>
        <w:rPr>
          <w:rFonts w:ascii="Noto Sans Arabic" w:hAnsi="Noto Sans Arabic" w:cs="Noto Sans Arabic"/>
          <w:b/>
          <w:color w:val="1B4965"/>
          <w:sz w:val="28"/>
          <w:rtl/>
        </w:rPr>
        <w:t>۱۶.۲ نسخه ۱</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مدیریت پرونده با تایم‌لاین، کارها، نقش‌ها، اسناد و جلسه‌ها.</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تحلیل قرارداد و سند با اتصال ریسک‌ها به بندهای مشخص.</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نسخه‌بندی قرارداد، مقایسه، تعهدات و یادآوری تمدید.</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فضای کاری سازمانی و مدیریت اعضا و دسترسی‌ها.</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پروفایل تخصصی پیشرفته وکیل، تضاد منافع، تعرفه و تسویه.</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مرکز دانش عمومی با جست‌وجوی هوشمند و پاسخ منبع‌محور.</w:t>
      </w:r>
    </w:p>
    <w:p>
      <w:pPr>
        <w:keepNext/>
        <w:bidi/>
        <w:spacing w:before="160" w:after="100"/>
        <w:jc w:val="right"/>
      </w:pPr>
      <w:r>
        <w:rPr>
          <w:rFonts w:ascii="Noto Sans Arabic" w:hAnsi="Noto Sans Arabic" w:cs="Noto Sans Arabic"/>
          <w:b/>
          <w:color w:val="1B4965"/>
          <w:sz w:val="28"/>
          <w:rtl/>
        </w:rPr>
        <w:t>۱۶.۳ افق توسعه</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دادخواست، اظهارنامه، شکواییه و لایحه‌ساز با Human Review اجباری.</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CLM سازمانی، گردش تأیید، Playbook بندها و API.</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یکپارچه‌سازی با امضای دیجیتال، سرویس‌های هویتی و سامانه‌های سازمانی در صورت امکان قانونی و فنی.</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اپلیکیشن موبایل و تجربه چندزبانه.</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تحلیل آماری پرونده‌های مشابه و تخمین احتمالی فقط در صورت وجود داده معتبر، روش علمی و چارچوب حقوقی روشن.</w:t>
      </w:r>
    </w:p>
    <w:p>
      <w:pPr>
        <w:keepNext/>
        <w:bidi/>
        <w:spacing w:before="240" w:after="100"/>
        <w:jc w:val="right"/>
        <w:pBdr>
          <w:bottom w:val="single" w:sz="10" w:space="4" w:color="19A7A0"/>
        </w:pBdr>
      </w:pPr>
      <w:r>
        <w:rPr>
          <w:rFonts w:ascii="Noto Sans Arabic" w:hAnsi="Noto Sans Arabic" w:cs="Noto Sans Arabic"/>
          <w:b/>
          <w:color w:val="132A45"/>
          <w:sz w:val="34"/>
          <w:rtl/>
        </w:rPr>
        <w:t>۱۷. شاخص‌های موفقیت</w:t>
      </w:r>
    </w:p>
    <w:p>
      <w:pPr>
        <w:keepNext/>
        <w:bidi/>
        <w:spacing w:before="160" w:after="100"/>
        <w:jc w:val="right"/>
      </w:pPr>
      <w:r>
        <w:rPr>
          <w:rFonts w:ascii="Noto Sans Arabic" w:hAnsi="Noto Sans Arabic" w:cs="Noto Sans Arabic"/>
          <w:b/>
          <w:color w:val="1B4965"/>
          <w:sz w:val="28"/>
          <w:rtl/>
        </w:rPr>
        <w:t>۱۷.۱ North Star Metric پیشنهادی</w:t>
      </w:r>
    </w:p>
    <w:tbl>
      <w:tblPr>
        <w:tblW w:type="auto" w:w="0"/>
        <w:jc w:val="center"/>
        <w:tblLook w:firstColumn="1" w:firstRow="1" w:lastColumn="0" w:lastRow="0" w:noHBand="0" w:noVBand="1" w:val="04A0"/>
      </w:tblPr>
      <w:tblGrid>
        <w:gridCol w:w="9866"/>
      </w:tblGrid>
      <w:tr>
        <w:trPr>
          <w:cantSplit/>
        </w:trPr>
        <w:tc>
          <w:tcPr>
            <w:tcW w:type="dxa" w:w="9866"/>
            <w:shd w:fill="EAF7F6"/>
            <w:tcMar>
              <w:top w:w="160" w:type="dxa"/>
              <w:start w:w="200" w:type="dxa"/>
              <w:bottom w:w="160" w:type="dxa"/>
              <w:end w:w="200" w:type="dxa"/>
            </w:tcMar>
            <w:tcBorders>
              <w:top w:val="single" w:sz="8" w:color="19A7A0"/>
              <w:left w:val="single" w:sz="8" w:color="19A7A0"/>
              <w:bottom w:val="single" w:sz="8" w:color="19A7A0"/>
              <w:right w:val="single" w:sz="8" w:color="19A7A0"/>
            </w:tcBorders>
          </w:tcPr>
          <w:p>
            <w:pPr>
              <w:bidi/>
              <w:jc w:val="right"/>
            </w:pPr>
            <w:r>
              <w:rPr>
                <w:rFonts w:ascii="Noto Sans Arabic" w:hAnsi="Noto Sans Arabic" w:cs="Noto Sans Arabic"/>
                <w:b/>
                <w:color w:val="132A45"/>
                <w:sz w:val="22"/>
                <w:rtl/>
              </w:rPr>
              <w:t>پرونده‌ها یا درخواست‌های حقوقی که به «اقدام معتبر و قابل پیگیری» رسیده‌اند</w:t>
              <w:br/>
            </w:r>
            <w:r>
              <w:rPr>
                <w:rFonts w:ascii="Noto Sans Arabic" w:hAnsi="Noto Sans Arabic" w:cs="Noto Sans Arabic"/>
                <w:b w:val="0"/>
                <w:color w:val="1F2937"/>
                <w:sz w:val="20"/>
                <w:rtl/>
              </w:rPr>
              <w:t>اقدام معتبر می‌تواند شامل تکمیل یک راهنمای مورد تأیید کاربر، تولید و ذخیره سند، رزرو و انجام جلسه، پذیرش پرونده توسط وکیل یا ثبت و پیگیری یک تعهد باشد. صرف ارسال پیام یا تولید پاسخ، موفقیت نهایی محسوب نمی‌شود.</w:t>
            </w:r>
          </w:p>
        </w:tc>
      </w:tr>
    </w:tbl>
    <w:p>
      <w:pPr>
        <w:spacing w:after="20"/>
      </w:pPr>
    </w:p>
    <w:p>
      <w:pPr>
        <w:keepNext/>
        <w:bidi/>
        <w:spacing w:before="160" w:after="100"/>
        <w:jc w:val="right"/>
      </w:pPr>
      <w:r>
        <w:rPr>
          <w:rFonts w:ascii="Noto Sans Arabic" w:hAnsi="Noto Sans Arabic" w:cs="Noto Sans Arabic"/>
          <w:b/>
          <w:color w:val="1B4965"/>
          <w:sz w:val="28"/>
          <w:rtl/>
        </w:rPr>
        <w:t>۱۷.۲ سبد شاخص‌ها</w:t>
      </w:r>
    </w:p>
    <w:tbl>
      <w:tblPr>
        <w:tblStyle w:val="TableGrid"/>
        <w:tblW w:type="auto" w:w="0"/>
        <w:jc w:val="center"/>
        <w:tblLayout w:type="autofit"/>
        <w:tblLook w:firstColumn="1" w:firstRow="1" w:lastColumn="0" w:lastRow="0" w:noHBand="0" w:noVBand="1" w:val="04A0"/>
      </w:tblPr>
      <w:tblGrid>
        <w:gridCol w:w="4933"/>
        <w:gridCol w:w="4933"/>
      </w:tblGrid>
      <w:tr>
        <w:trPr>
          <w:tblHeader w:val="true"/>
          <w:cantSplit/>
        </w:trPr>
        <w:tc>
          <w:tcPr>
            <w:tcW w:type="dxa" w:w="4933"/>
            <w:shd w:fill="132A45"/>
            <w:tcMar>
              <w:top w:w="90" w:type="dxa"/>
              <w:start w:w="110" w:type="dxa"/>
              <w:bottom w:w="90" w:type="dxa"/>
              <w:end w:w="110" w:type="dxa"/>
            </w:tcMar>
            <w:vAlign w:val="center"/>
          </w:tcPr>
          <w:p>
            <w:pPr>
              <w:bidi/>
              <w:jc w:val="right"/>
            </w:pPr>
            <w:r>
              <w:rPr>
                <w:rFonts w:ascii="Noto Sans Arabic" w:hAnsi="Noto Sans Arabic" w:cs="Noto Sans Arabic"/>
                <w:b/>
                <w:color w:val="FFFFFF"/>
                <w:sz w:val="18"/>
                <w:rtl/>
              </w:rPr>
              <w:t>بعد</w:t>
            </w:r>
          </w:p>
        </w:tc>
        <w:tc>
          <w:tcPr>
            <w:tcW w:type="dxa" w:w="4933"/>
            <w:shd w:fill="132A45"/>
            <w:tcMar>
              <w:top w:w="90" w:type="dxa"/>
              <w:start w:w="110" w:type="dxa"/>
              <w:bottom w:w="90" w:type="dxa"/>
              <w:end w:w="110" w:type="dxa"/>
            </w:tcMar>
            <w:vAlign w:val="center"/>
          </w:tcPr>
          <w:p>
            <w:pPr>
              <w:bidi/>
              <w:jc w:val="right"/>
            </w:pPr>
            <w:r>
              <w:rPr>
                <w:rFonts w:ascii="Noto Sans Arabic" w:hAnsi="Noto Sans Arabic" w:cs="Noto Sans Arabic"/>
                <w:b/>
                <w:color w:val="FFFFFF"/>
                <w:sz w:val="18"/>
                <w:rtl/>
              </w:rPr>
              <w:t>شاخص‌های نمونه</w:t>
            </w:r>
          </w:p>
        </w:tc>
      </w:tr>
      <w:tr>
        <w:trPr>
          <w:cantSplit/>
        </w:trPr>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ارزش کاربر</w:t>
            </w:r>
          </w:p>
        </w:tc>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نرخ تکمیل Intake، نرخ رسیدن به اقدام، زمان تا اولین ارزش، بازگشت کاربر، رضایت پس از خدمت</w:t>
            </w:r>
          </w:p>
        </w:tc>
      </w:tr>
      <w:tr>
        <w:trPr>
          <w:cantSplit/>
        </w:trPr>
        <w:tc>
          <w:tcPr>
            <w:tcW w:type="dxa" w:w="4933"/>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اعتماد</w:t>
            </w:r>
          </w:p>
        </w:tc>
        <w:tc>
          <w:tcPr>
            <w:tcW w:type="dxa" w:w="4933"/>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نرخ مشاهده منبع، نرخ اعتراض به پاسخ، گزارش خطای حقوقی، شکایت، نرخ ارجاع مناسب</w:t>
            </w:r>
          </w:p>
        </w:tc>
      </w:tr>
      <w:tr>
        <w:trPr>
          <w:cantSplit/>
        </w:trPr>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کیفیت AI</w:t>
            </w:r>
          </w:p>
        </w:tc>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دقت استناد، Citation Coverage، Hallucination Rate، Completeness، تشخیص حوزه و تشخیص سناریوی پرریسک</w:t>
            </w:r>
          </w:p>
        </w:tc>
      </w:tr>
      <w:tr>
        <w:trPr>
          <w:cantSplit/>
        </w:trPr>
        <w:tc>
          <w:tcPr>
            <w:tcW w:type="dxa" w:w="4933"/>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بازارگاه</w:t>
            </w:r>
          </w:p>
        </w:tc>
        <w:tc>
          <w:tcPr>
            <w:tcW w:type="dxa" w:w="4933"/>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نرخ پذیرش درخواست، زمان پاسخ وکیل، نرخ برگزاری جلسه، لغو، رضایت دوطرفه</w:t>
            </w:r>
          </w:p>
        </w:tc>
      </w:tr>
      <w:tr>
        <w:trPr>
          <w:cantSplit/>
        </w:trPr>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کسب‌وکار</w:t>
            </w:r>
          </w:p>
        </w:tc>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Conversion، ARPU، Retention، درآمد خالص، هزینه ارائه خدمت، درصد بازپرداخت</w:t>
            </w:r>
          </w:p>
        </w:tc>
      </w:tr>
      <w:tr>
        <w:trPr>
          <w:cantSplit/>
        </w:trPr>
        <w:tc>
          <w:tcPr>
            <w:tcW w:type="dxa" w:w="4933"/>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عملیات</w:t>
            </w:r>
          </w:p>
        </w:tc>
        <w:tc>
          <w:tcPr>
            <w:tcW w:type="dxa" w:w="4933"/>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SLA پشتیبانی، زمان احراز وکیل، زمان رسیدگی به شکایت، رخدادهای امنیتی و زمان بازیابی</w:t>
            </w:r>
          </w:p>
        </w:tc>
      </w:tr>
    </w:tbl>
    <w:p>
      <w:pPr>
        <w:spacing w:after="20"/>
      </w:pPr>
    </w:p>
    <w:p>
      <w:pPr>
        <w:bidi/>
        <w:spacing w:line="324" w:lineRule="auto" w:after="80"/>
        <w:ind w:firstLine="255"/>
        <w:jc w:val="right"/>
      </w:pPr>
      <w:r>
        <w:rPr>
          <w:rFonts w:ascii="Noto Sans Arabic" w:hAnsi="Noto Sans Arabic" w:cs="Noto Sans Arabic"/>
          <w:b w:val="0"/>
          <w:sz w:val="21"/>
          <w:rtl/>
        </w:rPr>
        <w:t>برای جلوگیری از رشد ناسالم، هیچ شاخص درآمدی نباید بدون شاخص‌های کیفیت و اعتماد تحلیل شود. برای نمونه، افزایش ارجاع به وکیل زمانی مطلوب است که دقت تشخیص نیاز به وکیل و رضایت کاربر نیز ثابت یا بهتر شده باشد.</w:t>
      </w:r>
    </w:p>
    <w:p>
      <w:r>
        <w:br w:type="page"/>
      </w:r>
    </w:p>
    <w:p>
      <w:pPr>
        <w:keepNext/>
        <w:bidi/>
        <w:spacing w:before="240" w:after="100"/>
        <w:jc w:val="right"/>
        <w:pBdr>
          <w:bottom w:val="single" w:sz="10" w:space="4" w:color="19A7A0"/>
        </w:pBdr>
      </w:pPr>
      <w:r>
        <w:rPr>
          <w:rFonts w:ascii="Noto Sans Arabic" w:hAnsi="Noto Sans Arabic" w:cs="Noto Sans Arabic"/>
          <w:b/>
          <w:color w:val="132A45"/>
          <w:sz w:val="34"/>
          <w:rtl/>
        </w:rPr>
        <w:t>۱۸. ریسک‌های راهبردی و پاسخ اولیه</w:t>
      </w:r>
    </w:p>
    <w:tbl>
      <w:tblPr>
        <w:tblStyle w:val="TableGrid"/>
        <w:tblW w:type="auto" w:w="0"/>
        <w:jc w:val="center"/>
        <w:tblLayout w:type="autofit"/>
        <w:tblLook w:firstColumn="1" w:firstRow="1" w:lastColumn="0" w:lastRow="0" w:noHBand="0" w:noVBand="1" w:val="04A0"/>
      </w:tblPr>
      <w:tblGrid>
        <w:gridCol w:w="3289"/>
        <w:gridCol w:w="3289"/>
        <w:gridCol w:w="3289"/>
      </w:tblGrid>
      <w:tr>
        <w:trPr>
          <w:tblHeader w:val="true"/>
          <w:cantSplit/>
        </w:trPr>
        <w:tc>
          <w:tcPr>
            <w:tcW w:type="dxa" w:w="3289"/>
            <w:shd w:fill="132A45"/>
            <w:tcMar>
              <w:top w:w="90" w:type="dxa"/>
              <w:start w:w="110" w:type="dxa"/>
              <w:bottom w:w="90" w:type="dxa"/>
              <w:end w:w="110" w:type="dxa"/>
            </w:tcMar>
            <w:vAlign w:val="center"/>
          </w:tcPr>
          <w:p>
            <w:pPr>
              <w:bidi/>
              <w:jc w:val="right"/>
            </w:pPr>
            <w:r>
              <w:rPr>
                <w:rFonts w:ascii="Noto Sans Arabic" w:hAnsi="Noto Sans Arabic" w:cs="Noto Sans Arabic"/>
                <w:b/>
                <w:color w:val="FFFFFF"/>
                <w:sz w:val="17"/>
                <w:rtl/>
              </w:rPr>
              <w:t>ریسک</w:t>
            </w:r>
          </w:p>
        </w:tc>
        <w:tc>
          <w:tcPr>
            <w:tcW w:type="dxa" w:w="3289"/>
            <w:shd w:fill="132A45"/>
            <w:tcMar>
              <w:top w:w="90" w:type="dxa"/>
              <w:start w:w="110" w:type="dxa"/>
              <w:bottom w:w="90" w:type="dxa"/>
              <w:end w:w="110" w:type="dxa"/>
            </w:tcMar>
            <w:vAlign w:val="center"/>
          </w:tcPr>
          <w:p>
            <w:pPr>
              <w:bidi/>
              <w:jc w:val="right"/>
            </w:pPr>
            <w:r>
              <w:rPr>
                <w:rFonts w:ascii="Noto Sans Arabic" w:hAnsi="Noto Sans Arabic" w:cs="Noto Sans Arabic"/>
                <w:b/>
                <w:color w:val="FFFFFF"/>
                <w:sz w:val="17"/>
                <w:rtl/>
              </w:rPr>
              <w:t>شدت</w:t>
            </w:r>
          </w:p>
        </w:tc>
        <w:tc>
          <w:tcPr>
            <w:tcW w:type="dxa" w:w="3289"/>
            <w:shd w:fill="132A45"/>
            <w:tcMar>
              <w:top w:w="90" w:type="dxa"/>
              <w:start w:w="110" w:type="dxa"/>
              <w:bottom w:w="90" w:type="dxa"/>
              <w:end w:w="110" w:type="dxa"/>
            </w:tcMar>
            <w:vAlign w:val="center"/>
          </w:tcPr>
          <w:p>
            <w:pPr>
              <w:bidi/>
              <w:jc w:val="right"/>
            </w:pPr>
            <w:r>
              <w:rPr>
                <w:rFonts w:ascii="Noto Sans Arabic" w:hAnsi="Noto Sans Arabic" w:cs="Noto Sans Arabic"/>
                <w:b/>
                <w:color w:val="FFFFFF"/>
                <w:sz w:val="17"/>
                <w:rtl/>
              </w:rPr>
              <w:t>پاسخ اولیه</w:t>
            </w:r>
          </w:p>
        </w:tc>
      </w:tr>
      <w:tr>
        <w:trPr>
          <w:cantSplit/>
        </w:trPr>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7"/>
                <w:rtl/>
              </w:rPr>
              <w:t>پاسخ حقوقی غلط یا منسوخ</w:t>
            </w:r>
          </w:p>
        </w:tc>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7"/>
                <w:rtl/>
              </w:rPr>
              <w:t>بسیار بالا</w:t>
            </w:r>
          </w:p>
        </w:tc>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7"/>
                <w:rtl/>
              </w:rPr>
              <w:t>منابع نسخه‌بندی‌شده، Citation، ارزیابی حقوقی، محدودیت حوزه و Human Review</w:t>
            </w:r>
          </w:p>
        </w:tc>
      </w:tr>
      <w:tr>
        <w:trPr>
          <w:cantSplit/>
        </w:trPr>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7"/>
                <w:rtl/>
              </w:rPr>
              <w:t>برداشت کاربر از AI به‌عنوان وکیل</w:t>
            </w:r>
          </w:p>
        </w:tc>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7"/>
                <w:rtl/>
              </w:rPr>
              <w:t>بسیار بالا</w:t>
            </w:r>
          </w:p>
        </w:tc>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7"/>
                <w:rtl/>
              </w:rPr>
              <w:t>زبان و UI شفاف، تفکیک خدمت AI و وکیل، هشدار متناسب با ریسک</w:t>
            </w:r>
          </w:p>
        </w:tc>
      </w:tr>
      <w:tr>
        <w:trPr>
          <w:cantSplit/>
        </w:trPr>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7"/>
                <w:rtl/>
              </w:rPr>
              <w:t>افشای اسناد و اطلاعات محرمانه</w:t>
            </w:r>
          </w:p>
        </w:tc>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7"/>
                <w:rtl/>
              </w:rPr>
              <w:t>بسیار بالا</w:t>
            </w:r>
          </w:p>
        </w:tc>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7"/>
                <w:rtl/>
              </w:rPr>
              <w:t>رمزنگاری، Least Privilege، DLP، Log امن، ارزیابی فروشنده مدل و Incident Response</w:t>
            </w:r>
          </w:p>
        </w:tc>
      </w:tr>
      <w:tr>
        <w:trPr>
          <w:cantSplit/>
        </w:trPr>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7"/>
                <w:rtl/>
              </w:rPr>
              <w:t>فعالیت یا معرفی فرد فاقد صلاحیت</w:t>
            </w:r>
          </w:p>
        </w:tc>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7"/>
                <w:rtl/>
              </w:rPr>
              <w:t>بالا</w:t>
            </w:r>
          </w:p>
        </w:tc>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7"/>
                <w:rtl/>
              </w:rPr>
              <w:t>احراز پروانه، پایش اعتبار، محدودیت عنوان و تعلیق خودکار در وضعیت نامعتبر</w:t>
            </w:r>
          </w:p>
        </w:tc>
      </w:tr>
      <w:tr>
        <w:trPr>
          <w:cantSplit/>
        </w:trPr>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7"/>
                <w:rtl/>
              </w:rPr>
              <w:t>تضاد منافع در پیشنهاد وکیل</w:t>
            </w:r>
          </w:p>
        </w:tc>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7"/>
                <w:rtl/>
              </w:rPr>
              <w:t>بالا</w:t>
            </w:r>
          </w:p>
        </w:tc>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7"/>
                <w:rtl/>
              </w:rPr>
              <w:t>قواعد Ranking شفاف، Disclosure کمیسیون، Conflict Check و حق انتخاب کاربر</w:t>
            </w:r>
          </w:p>
        </w:tc>
      </w:tr>
      <w:tr>
        <w:trPr>
          <w:cantSplit/>
        </w:trPr>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7"/>
                <w:rtl/>
              </w:rPr>
              <w:t>جعل یا دستکاری سند/منبع</w:t>
            </w:r>
          </w:p>
        </w:tc>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7"/>
                <w:rtl/>
              </w:rPr>
              <w:t>بالا</w:t>
            </w:r>
          </w:p>
        </w:tc>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7"/>
                <w:rtl/>
              </w:rPr>
              <w:t>نسخه اصلی، Hash، تاریخچه تغییر، امضای رویداد و کنترل دسترسی</w:t>
            </w:r>
          </w:p>
        </w:tc>
      </w:tr>
      <w:tr>
        <w:trPr>
          <w:cantSplit/>
        </w:trPr>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7"/>
                <w:rtl/>
              </w:rPr>
              <w:t>پوشش بیش از حد در MVP</w:t>
            </w:r>
          </w:p>
        </w:tc>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7"/>
                <w:rtl/>
              </w:rPr>
              <w:t>بالا</w:t>
            </w:r>
          </w:p>
        </w:tc>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7"/>
                <w:rtl/>
              </w:rPr>
              <w:t>محدودسازی حوزه و قرارداد، Gate کیفی و انتشار مرحله‌ای</w:t>
            </w:r>
          </w:p>
        </w:tc>
      </w:tr>
      <w:tr>
        <w:trPr>
          <w:cantSplit/>
        </w:trPr>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7"/>
                <w:rtl/>
              </w:rPr>
              <w:t>نبود داده حقوقی استاندارد</w:t>
            </w:r>
          </w:p>
        </w:tc>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7"/>
                <w:rtl/>
              </w:rPr>
              <w:t>بالا</w:t>
            </w:r>
          </w:p>
        </w:tc>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7"/>
                <w:rtl/>
              </w:rPr>
              <w:t>برنامه Ingestion، تنقیح، Metadata، QA حقوقی و قرارداد تأمین محتوا</w:t>
            </w:r>
          </w:p>
        </w:tc>
      </w:tr>
      <w:tr>
        <w:trPr>
          <w:cantSplit/>
        </w:trPr>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7"/>
                <w:rtl/>
              </w:rPr>
              <w:t>عدم اعتماد وکلا</w:t>
            </w:r>
          </w:p>
        </w:tc>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7"/>
                <w:rtl/>
              </w:rPr>
              <w:t>متوسط تا بالا</w:t>
            </w:r>
          </w:p>
        </w:tc>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7"/>
                <w:rtl/>
              </w:rPr>
              <w:t>Co-design، کنترل حرفه‌ای، شفافیت نقش AI و مدل اقتصادی منصفانه</w:t>
            </w:r>
          </w:p>
        </w:tc>
      </w:tr>
      <w:tr>
        <w:trPr>
          <w:cantSplit/>
        </w:trPr>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7"/>
                <w:rtl/>
              </w:rPr>
              <w:t>تغییر مقررات و سیاست‌ها</w:t>
            </w:r>
          </w:p>
        </w:tc>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7"/>
                <w:rtl/>
              </w:rPr>
              <w:t>بالا</w:t>
            </w:r>
          </w:p>
        </w:tc>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7"/>
                <w:rtl/>
              </w:rPr>
              <w:t>Regulatory Watch، نسخه‌بندی قواعد و بازبینی دوره‌ای سند Legal Scope</w:t>
            </w:r>
          </w:p>
        </w:tc>
      </w:tr>
    </w:tbl>
    <w:p>
      <w:pPr>
        <w:spacing w:after="20"/>
      </w:pPr>
    </w:p>
    <w:p>
      <w:pPr>
        <w:keepNext/>
        <w:bidi/>
        <w:spacing w:before="240" w:after="100"/>
        <w:jc w:val="right"/>
        <w:pBdr>
          <w:bottom w:val="single" w:sz="10" w:space="4" w:color="19A7A0"/>
        </w:pBdr>
      </w:pPr>
      <w:r>
        <w:rPr>
          <w:rFonts w:ascii="Noto Sans Arabic" w:hAnsi="Noto Sans Arabic" w:cs="Noto Sans Arabic"/>
          <w:b/>
          <w:color w:val="132A45"/>
          <w:sz w:val="34"/>
          <w:rtl/>
        </w:rPr>
        <w:t>۱۹. فرضیات و تصمیم‌های باز</w:t>
      </w:r>
    </w:p>
    <w:p>
      <w:pPr>
        <w:bidi/>
        <w:spacing w:line="324" w:lineRule="auto" w:after="80"/>
        <w:ind w:firstLine="255"/>
        <w:jc w:val="right"/>
      </w:pPr>
      <w:r>
        <w:rPr>
          <w:rFonts w:ascii="Noto Sans Arabic" w:hAnsi="Noto Sans Arabic" w:cs="Noto Sans Arabic"/>
          <w:b w:val="0"/>
          <w:sz w:val="21"/>
          <w:rtl/>
        </w:rPr>
        <w:t>موارد زیر در این Product Vision عمداً به‌عنوان تصمیم باز ثبت شده‌اند و نباید در معماری یا پرامپت ساخت نهایی به‌صورت حدس تثبیت شوند:</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شخصیت حقوقی اپراتور LEGALIR و اینکه خود پلتفرم ارائه‌دهنده کدام خدمت محسوب می‌شود.</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مدل همکاری با کانون وکلا، مرکز وکلا، مؤسسات حقوقی و وکلای مستقل و شیوه راستی‌آزمایی پروانه.</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حوزه‌های حقوقی دقیق MVP و فهرست سناریوهای ممنوع یا نیازمند ارجاع.</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منابع رسمی/مجاز برای قوانین، آرای وحدت رویه، نظریات مشورتی، رویه قضایی و نمونه اسناد.</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حقوق مالکیت فکری، مجوز استفاده و سیاست به‌روزرسانی پیکره حقوقی.</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مکان میزبانی، ارائه‌دهنده مدل، پردازش برون‌مرزی احتمالی و شرایط انتقال داده.</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سیاست نگهداری برای چت، فایل، لاگ، مدارک هویتی، جلسه و داده‌های پرداخت.</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الزامات احراز هویت اشخاص، سازمان‌ها و وکلا برای هر سطح خدمت.</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مدل رسمی امضای الکترونیکی و سطح اعتبار مورد نیاز برای انواع سند.</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نقش Human Review و اینکه چه خروجی‌هایی بدون تأیید وکیل قابل تحویل یا دانلود هستند.</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فرایند شکایت، حل اختلاف، بازپرداخت و مسئولیت میان پلتفرم و ارائه‌دهنده حرفه‌ای.</w:t>
      </w:r>
    </w:p>
    <w:p>
      <w:pPr>
        <w:bidi/>
        <w:spacing w:line="300" w:lineRule="auto" w:after="50"/>
        <w:ind w:left="198" w:right="113" w:hanging="198"/>
        <w:jc w:val="right"/>
      </w:pPr>
      <w:r>
        <w:rPr>
          <w:rFonts w:ascii="Noto Sans Arabic" w:hAnsi="Noto Sans Arabic" w:cs="Noto Sans Arabic"/>
          <w:b/>
          <w:color w:val="19A7A0"/>
          <w:sz w:val="22"/>
          <w:rtl/>
        </w:rPr>
        <w:t xml:space="preserve">• </w:t>
      </w:r>
      <w:r>
        <w:rPr>
          <w:rFonts w:ascii="Noto Sans Arabic" w:hAnsi="Noto Sans Arabic" w:cs="Noto Sans Arabic"/>
          <w:b w:val="0"/>
          <w:color w:val="111827"/>
          <w:sz w:val="20"/>
          <w:rtl/>
        </w:rPr>
        <w:t>مدل قیمت‌گذاری و کمیسیون و اثر آن بر بی‌طرفی پیشنهاد وکیل.</w:t>
      </w:r>
    </w:p>
    <w:p>
      <w:pPr>
        <w:keepNext/>
        <w:bidi/>
        <w:spacing w:before="240" w:after="100"/>
        <w:jc w:val="right"/>
        <w:pBdr>
          <w:bottom w:val="single" w:sz="10" w:space="4" w:color="19A7A0"/>
        </w:pBdr>
      </w:pPr>
      <w:r>
        <w:rPr>
          <w:rFonts w:ascii="Noto Sans Arabic" w:hAnsi="Noto Sans Arabic" w:cs="Noto Sans Arabic"/>
          <w:b/>
          <w:color w:val="132A45"/>
          <w:sz w:val="34"/>
          <w:rtl/>
        </w:rPr>
        <w:t>۲۰. اصول تصمیم‌گیری محصول</w:t>
      </w:r>
    </w:p>
    <w:tbl>
      <w:tblPr>
        <w:tblStyle w:val="TableGrid"/>
        <w:tblW w:type="auto" w:w="0"/>
        <w:jc w:val="center"/>
        <w:tblLayout w:type="autofit"/>
        <w:tblLook w:firstColumn="1" w:firstRow="1" w:lastColumn="0" w:lastRow="0" w:noHBand="0" w:noVBand="1" w:val="04A0"/>
      </w:tblPr>
      <w:tblGrid>
        <w:gridCol w:w="4933"/>
        <w:gridCol w:w="4933"/>
      </w:tblGrid>
      <w:tr>
        <w:trPr>
          <w:tblHeader w:val="true"/>
          <w:cantSplit/>
        </w:trPr>
        <w:tc>
          <w:tcPr>
            <w:tcW w:type="dxa" w:w="4933"/>
            <w:shd w:fill="132A45"/>
            <w:tcMar>
              <w:top w:w="90" w:type="dxa"/>
              <w:start w:w="110" w:type="dxa"/>
              <w:bottom w:w="90" w:type="dxa"/>
              <w:end w:w="110" w:type="dxa"/>
            </w:tcMar>
            <w:vAlign w:val="center"/>
          </w:tcPr>
          <w:p>
            <w:pPr>
              <w:bidi/>
              <w:jc w:val="right"/>
            </w:pPr>
            <w:r>
              <w:rPr>
                <w:rFonts w:ascii="Noto Sans Arabic" w:hAnsi="Noto Sans Arabic" w:cs="Noto Sans Arabic"/>
                <w:b/>
                <w:color w:val="FFFFFF"/>
                <w:sz w:val="18"/>
                <w:rtl/>
              </w:rPr>
              <w:t>اصل</w:t>
            </w:r>
          </w:p>
        </w:tc>
        <w:tc>
          <w:tcPr>
            <w:tcW w:type="dxa" w:w="4933"/>
            <w:shd w:fill="132A45"/>
            <w:tcMar>
              <w:top w:w="90" w:type="dxa"/>
              <w:start w:w="110" w:type="dxa"/>
              <w:bottom w:w="90" w:type="dxa"/>
              <w:end w:w="110" w:type="dxa"/>
            </w:tcMar>
            <w:vAlign w:val="center"/>
          </w:tcPr>
          <w:p>
            <w:pPr>
              <w:bidi/>
              <w:jc w:val="right"/>
            </w:pPr>
            <w:r>
              <w:rPr>
                <w:rFonts w:ascii="Noto Sans Arabic" w:hAnsi="Noto Sans Arabic" w:cs="Noto Sans Arabic"/>
                <w:b/>
                <w:color w:val="FFFFFF"/>
                <w:sz w:val="18"/>
                <w:rtl/>
              </w:rPr>
              <w:t>معیار تصمیم</w:t>
            </w:r>
          </w:p>
        </w:tc>
      </w:tr>
      <w:tr>
        <w:trPr>
          <w:cantSplit/>
        </w:trPr>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اعتماد بر رشد مقدم است</w:t>
            </w:r>
          </w:p>
        </w:tc>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در تعارض میان سرعت عرضه و کاهش ریسک حقوقی/امنیتی، کاهش ریسک مقدم است.</w:t>
            </w:r>
          </w:p>
        </w:tc>
      </w:tr>
      <w:tr>
        <w:trPr>
          <w:cantSplit/>
        </w:trPr>
        <w:tc>
          <w:tcPr>
            <w:tcW w:type="dxa" w:w="4933"/>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منبع قبل از فصاحت</w:t>
            </w:r>
          </w:p>
        </w:tc>
        <w:tc>
          <w:tcPr>
            <w:tcW w:type="dxa" w:w="4933"/>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پاسخ کمتر اما مستند بر پاسخ روان و بدون پشتوانه ترجیح دارد.</w:t>
            </w:r>
          </w:p>
        </w:tc>
      </w:tr>
      <w:tr>
        <w:trPr>
          <w:cantSplit/>
        </w:trPr>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ساختار قبل از چت آزاد</w:t>
            </w:r>
          </w:p>
        </w:tc>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جریان‌های مرحله‌ای و داده ساختاریافته بر مکالمه بی‌هدف مقدم‌اند.</w:t>
            </w:r>
          </w:p>
        </w:tc>
      </w:tr>
      <w:tr>
        <w:trPr>
          <w:cantSplit/>
        </w:trPr>
        <w:tc>
          <w:tcPr>
            <w:tcW w:type="dxa" w:w="4933"/>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انسان در نقطه تصمیم</w:t>
            </w:r>
          </w:p>
        </w:tc>
        <w:tc>
          <w:tcPr>
            <w:tcW w:type="dxa" w:w="4933"/>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AI آماده می‌کند و توضیح می‌دهد؛ تصمیم حرفه‌ای حساس باید به انسان واجد صلاحیت برسد.</w:t>
            </w:r>
          </w:p>
        </w:tc>
      </w:tr>
      <w:tr>
        <w:trPr>
          <w:cantSplit/>
        </w:trPr>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حداقل‌گرایی داده</w:t>
            </w:r>
          </w:p>
        </w:tc>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داده‌ای که برای خدمت لازم نیست جمع‌آوری یا نگهداری نمی‌شود.</w:t>
            </w:r>
          </w:p>
        </w:tc>
      </w:tr>
      <w:tr>
        <w:trPr>
          <w:cantSplit/>
        </w:trPr>
        <w:tc>
          <w:tcPr>
            <w:tcW w:type="dxa" w:w="4933"/>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نسخه و زمان مهم‌اند</w:t>
            </w:r>
          </w:p>
        </w:tc>
        <w:tc>
          <w:tcPr>
            <w:tcW w:type="dxa" w:w="4933"/>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قانون، سند، پاسخ، Prompt و مدل بدون نسخه زمانی قابل اتکا نیستند.</w:t>
            </w:r>
          </w:p>
        </w:tc>
      </w:tr>
      <w:tr>
        <w:trPr>
          <w:cantSplit/>
        </w:trPr>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MVP باریک ولی کامل</w:t>
            </w:r>
          </w:p>
        </w:tc>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8"/>
                <w:rtl/>
              </w:rPr>
              <w:t>تعداد کم سناریوی انتها به انتها بهتر از تعداد زیاد قابلیت نیمه‌کاره است.</w:t>
            </w:r>
          </w:p>
        </w:tc>
      </w:tr>
      <w:tr>
        <w:trPr>
          <w:cantSplit/>
        </w:trPr>
        <w:tc>
          <w:tcPr>
            <w:tcW w:type="dxa" w:w="4933"/>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تجربه واحد</w:t>
            </w:r>
          </w:p>
        </w:tc>
        <w:tc>
          <w:tcPr>
            <w:tcW w:type="dxa" w:w="4933"/>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8"/>
                <w:rtl/>
              </w:rPr>
              <w:t>کاربر نباید میان AI، پرونده، وکیل، پرداخت و سند Context خود را از دست بدهد.</w:t>
            </w:r>
          </w:p>
        </w:tc>
      </w:tr>
    </w:tbl>
    <w:p>
      <w:pPr>
        <w:spacing w:after="20"/>
      </w:pPr>
    </w:p>
    <w:p>
      <w:r>
        <w:br w:type="page"/>
      </w:r>
    </w:p>
    <w:p>
      <w:pPr>
        <w:keepNext/>
        <w:bidi/>
        <w:spacing w:before="240" w:after="100"/>
        <w:jc w:val="right"/>
        <w:pBdr>
          <w:bottom w:val="single" w:sz="10" w:space="4" w:color="19A7A0"/>
        </w:pBdr>
      </w:pPr>
      <w:r>
        <w:rPr>
          <w:rFonts w:ascii="Noto Sans Arabic" w:hAnsi="Noto Sans Arabic" w:cs="Noto Sans Arabic"/>
          <w:b/>
          <w:color w:val="132A45"/>
          <w:sz w:val="34"/>
          <w:rtl/>
        </w:rPr>
        <w:t>۲۱. خروجی مورد انتظار از اسناد بعدی</w:t>
      </w:r>
    </w:p>
    <w:p>
      <w:pPr>
        <w:bidi/>
        <w:spacing w:line="324" w:lineRule="auto" w:after="80"/>
        <w:ind w:firstLine="255"/>
        <w:jc w:val="right"/>
      </w:pPr>
      <w:r>
        <w:rPr>
          <w:rFonts w:ascii="Noto Sans Arabic" w:hAnsi="Noto Sans Arabic" w:cs="Noto Sans Arabic"/>
          <w:b w:val="0"/>
          <w:sz w:val="21"/>
          <w:rtl/>
        </w:rPr>
        <w:t>این Product Vision مبنای اسناد تفصیلی بعدی است. هر سند باید تصمیم‌های باز را کاهش دهد و به قابلیت، کنترل، مدل داده، صفحه، API، تست یا معیار پذیرش تبدیل کند.</w:t>
      </w:r>
    </w:p>
    <w:tbl>
      <w:tblPr>
        <w:tblStyle w:val="TableGrid"/>
        <w:tblW w:type="auto" w:w="0"/>
        <w:jc w:val="center"/>
        <w:tblLayout w:type="autofit"/>
        <w:tblLook w:firstColumn="1" w:firstRow="1" w:lastColumn="0" w:lastRow="0" w:noHBand="0" w:noVBand="1" w:val="04A0"/>
      </w:tblPr>
      <w:tblGrid>
        <w:gridCol w:w="3289"/>
        <w:gridCol w:w="3289"/>
        <w:gridCol w:w="3289"/>
      </w:tblGrid>
      <w:tr>
        <w:trPr>
          <w:tblHeader w:val="true"/>
          <w:cantSplit/>
        </w:trPr>
        <w:tc>
          <w:tcPr>
            <w:tcW w:type="dxa" w:w="3289"/>
            <w:shd w:fill="132A45"/>
            <w:tcMar>
              <w:top w:w="90" w:type="dxa"/>
              <w:start w:w="110" w:type="dxa"/>
              <w:bottom w:w="90" w:type="dxa"/>
              <w:end w:w="110" w:type="dxa"/>
            </w:tcMar>
            <w:vAlign w:val="center"/>
          </w:tcPr>
          <w:p>
            <w:pPr>
              <w:bidi/>
              <w:jc w:val="right"/>
            </w:pPr>
            <w:r>
              <w:rPr>
                <w:rFonts w:ascii="Noto Sans Arabic" w:hAnsi="Noto Sans Arabic" w:cs="Noto Sans Arabic"/>
                <w:b/>
                <w:color w:val="FFFFFF"/>
                <w:sz w:val="16"/>
                <w:rtl/>
              </w:rPr>
              <w:t>ترتیب</w:t>
            </w:r>
          </w:p>
        </w:tc>
        <w:tc>
          <w:tcPr>
            <w:tcW w:type="dxa" w:w="3289"/>
            <w:shd w:fill="132A45"/>
            <w:tcMar>
              <w:top w:w="90" w:type="dxa"/>
              <w:start w:w="110" w:type="dxa"/>
              <w:bottom w:w="90" w:type="dxa"/>
              <w:end w:w="110" w:type="dxa"/>
            </w:tcMar>
            <w:vAlign w:val="center"/>
          </w:tcPr>
          <w:p>
            <w:pPr>
              <w:bidi/>
              <w:jc w:val="right"/>
            </w:pPr>
            <w:r>
              <w:rPr>
                <w:rFonts w:ascii="Noto Sans Arabic" w:hAnsi="Noto Sans Arabic" w:cs="Noto Sans Arabic"/>
                <w:b/>
                <w:color w:val="FFFFFF"/>
                <w:sz w:val="16"/>
                <w:rtl/>
              </w:rPr>
              <w:t>سند</w:t>
            </w:r>
          </w:p>
        </w:tc>
        <w:tc>
          <w:tcPr>
            <w:tcW w:type="dxa" w:w="3289"/>
            <w:shd w:fill="132A45"/>
            <w:tcMar>
              <w:top w:w="90" w:type="dxa"/>
              <w:start w:w="110" w:type="dxa"/>
              <w:bottom w:w="90" w:type="dxa"/>
              <w:end w:w="110" w:type="dxa"/>
            </w:tcMar>
            <w:vAlign w:val="center"/>
          </w:tcPr>
          <w:p>
            <w:pPr>
              <w:bidi/>
              <w:jc w:val="right"/>
            </w:pPr>
            <w:r>
              <w:rPr>
                <w:rFonts w:ascii="Noto Sans Arabic" w:hAnsi="Noto Sans Arabic" w:cs="Noto Sans Arabic"/>
                <w:b/>
                <w:color w:val="FFFFFF"/>
                <w:sz w:val="16"/>
                <w:rtl/>
              </w:rPr>
              <w:t>هدف</w:t>
            </w:r>
          </w:p>
        </w:tc>
      </w:tr>
      <w:tr>
        <w:trPr>
          <w:cantSplit/>
        </w:trPr>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6"/>
                <w:rtl/>
              </w:rPr>
              <w:t>۲</w:t>
            </w:r>
          </w:p>
        </w:tc>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6"/>
                <w:rtl/>
              </w:rPr>
              <w:t>Jurisdiction &amp; Legal Scope</w:t>
            </w:r>
          </w:p>
        </w:tc>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6"/>
                <w:rtl/>
              </w:rPr>
              <w:t>تنقیح حوزه قضایی ایران، قوانین و الزامات، مجوزها، مرز AI/وکیل و ماتریس انطباق</w:t>
            </w:r>
          </w:p>
        </w:tc>
      </w:tr>
      <w:tr>
        <w:trPr>
          <w:cantSplit/>
        </w:trPr>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6"/>
                <w:rtl/>
              </w:rPr>
              <w:t>۳</w:t>
            </w:r>
          </w:p>
        </w:tc>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6"/>
                <w:rtl/>
              </w:rPr>
              <w:t>Personas &amp; Role Model</w:t>
            </w:r>
          </w:p>
        </w:tc>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6"/>
                <w:rtl/>
              </w:rPr>
              <w:t>پرسوناها، نقش‌های سامانه، RBAC و شرایط احراز</w:t>
            </w:r>
          </w:p>
        </w:tc>
      </w:tr>
      <w:tr>
        <w:trPr>
          <w:cantSplit/>
        </w:trPr>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6"/>
                <w:rtl/>
              </w:rPr>
              <w:t>۴</w:t>
            </w:r>
          </w:p>
        </w:tc>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6"/>
                <w:rtl/>
              </w:rPr>
              <w:t>Scope &amp; Release Strategy</w:t>
            </w:r>
          </w:p>
        </w:tc>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6"/>
                <w:rtl/>
              </w:rPr>
              <w:t>MVP، نسخه ۱، آینده، وابستگی‌ها و اولویت‌بندی</w:t>
            </w:r>
          </w:p>
        </w:tc>
      </w:tr>
      <w:tr>
        <w:trPr>
          <w:cantSplit/>
        </w:trPr>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6"/>
                <w:rtl/>
              </w:rPr>
              <w:t>۵</w:t>
            </w:r>
          </w:p>
        </w:tc>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6"/>
                <w:rtl/>
              </w:rPr>
              <w:t>User Journey &amp; Service Blueprint</w:t>
            </w:r>
          </w:p>
        </w:tc>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6"/>
                <w:rtl/>
              </w:rPr>
              <w:t>جریان‌های انتها به انتها و تعامل Frontstage/Backstage</w:t>
            </w:r>
          </w:p>
        </w:tc>
      </w:tr>
      <w:tr>
        <w:trPr>
          <w:cantSplit/>
        </w:trPr>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6"/>
                <w:rtl/>
              </w:rPr>
              <w:t>۶</w:t>
            </w:r>
          </w:p>
        </w:tc>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6"/>
                <w:rtl/>
              </w:rPr>
              <w:t>PRD</w:t>
            </w:r>
          </w:p>
        </w:tc>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6"/>
                <w:rtl/>
              </w:rPr>
              <w:t>نیازمندی‌های عملکردی و غیرعملکردی کامل</w:t>
            </w:r>
          </w:p>
        </w:tc>
      </w:tr>
      <w:tr>
        <w:trPr>
          <w:cantSplit/>
        </w:trPr>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6"/>
                <w:rtl/>
              </w:rPr>
              <w:t>۷</w:t>
            </w:r>
          </w:p>
        </w:tc>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6"/>
                <w:rtl/>
              </w:rPr>
              <w:t>Business Rules &amp; Monetization</w:t>
            </w:r>
          </w:p>
        </w:tc>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6"/>
                <w:rtl/>
              </w:rPr>
              <w:t>قواعد عملیات، قیمت، کمیسیون، پرداخت، بازپرداخت و تسویه</w:t>
            </w:r>
          </w:p>
        </w:tc>
      </w:tr>
      <w:tr>
        <w:trPr>
          <w:cantSplit/>
        </w:trPr>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6"/>
                <w:rtl/>
              </w:rPr>
              <w:t>۸</w:t>
            </w:r>
          </w:p>
        </w:tc>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6"/>
                <w:rtl/>
              </w:rPr>
              <w:t>Information Architecture &amp; Screen Inventory</w:t>
            </w:r>
          </w:p>
        </w:tc>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6"/>
                <w:rtl/>
              </w:rPr>
              <w:t>Sitemap، Navigation، صفحات و حالت‌ها</w:t>
            </w:r>
          </w:p>
        </w:tc>
      </w:tr>
      <w:tr>
        <w:trPr>
          <w:cantSplit/>
        </w:trPr>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6"/>
                <w:rtl/>
              </w:rPr>
              <w:t>۹</w:t>
            </w:r>
          </w:p>
        </w:tc>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6"/>
                <w:rtl/>
              </w:rPr>
              <w:t>Design System &amp; UX Specification</w:t>
            </w:r>
          </w:p>
        </w:tc>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6"/>
                <w:rtl/>
              </w:rPr>
              <w:t>توکن‌ها، کامپوننت‌ها، RTL، دسترس‌پذیری و Prototype</w:t>
            </w:r>
          </w:p>
        </w:tc>
      </w:tr>
      <w:tr>
        <w:trPr>
          <w:cantSplit/>
        </w:trPr>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6"/>
                <w:rtl/>
              </w:rPr>
              <w:t>۱۰</w:t>
            </w:r>
          </w:p>
        </w:tc>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6"/>
                <w:rtl/>
              </w:rPr>
              <w:t>AI/RAG &amp; Legal Knowledge Specification</w:t>
            </w:r>
          </w:p>
        </w:tc>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6"/>
                <w:rtl/>
              </w:rPr>
              <w:t>Ingestion، Retrieval، Prompt، Citation، Guardrail و Evaluation</w:t>
            </w:r>
          </w:p>
        </w:tc>
      </w:tr>
      <w:tr>
        <w:trPr>
          <w:cantSplit/>
        </w:trPr>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6"/>
                <w:rtl/>
              </w:rPr>
              <w:t>۱۱</w:t>
            </w:r>
          </w:p>
        </w:tc>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6"/>
                <w:rtl/>
              </w:rPr>
              <w:t>Data &amp; System Architecture</w:t>
            </w:r>
          </w:p>
        </w:tc>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6"/>
                <w:rtl/>
              </w:rPr>
              <w:t>ERD، سرویس‌ها، API، یکپارچه‌سازی و زیرساخت</w:t>
            </w:r>
          </w:p>
        </w:tc>
      </w:tr>
      <w:tr>
        <w:trPr>
          <w:cantSplit/>
        </w:trPr>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6"/>
                <w:rtl/>
              </w:rPr>
              <w:t>۱۲</w:t>
            </w:r>
          </w:p>
        </w:tc>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6"/>
                <w:rtl/>
              </w:rPr>
              <w:t>Security, Privacy &amp; Compliance</w:t>
            </w:r>
          </w:p>
        </w:tc>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6"/>
                <w:rtl/>
              </w:rPr>
              <w:t>Threat Model، کنترل‌ها، Retention، Consent و Incident Response</w:t>
            </w:r>
          </w:p>
        </w:tc>
      </w:tr>
      <w:tr>
        <w:trPr>
          <w:cantSplit/>
        </w:trPr>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6"/>
                <w:rtl/>
              </w:rPr>
              <w:t>۱۳</w:t>
            </w:r>
          </w:p>
        </w:tc>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6"/>
                <w:rtl/>
              </w:rPr>
              <w:t>QA, Acceptance &amp; Backlog</w:t>
            </w:r>
          </w:p>
        </w:tc>
        <w:tc>
          <w:tcPr>
            <w:tcW w:type="dxa" w:w="3289"/>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6"/>
                <w:rtl/>
              </w:rPr>
              <w:t>تست‌ها، Definition of Done، User Story و برنامه ساخت</w:t>
            </w:r>
          </w:p>
        </w:tc>
      </w:tr>
      <w:tr>
        <w:trPr>
          <w:cantSplit/>
        </w:trPr>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6"/>
                <w:rtl/>
              </w:rPr>
              <w:t>۱۴</w:t>
            </w:r>
          </w:p>
        </w:tc>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6"/>
                <w:rtl/>
              </w:rPr>
              <w:t>Master Build Prompt</w:t>
            </w:r>
          </w:p>
        </w:tc>
        <w:tc>
          <w:tcPr>
            <w:tcW w:type="dxa" w:w="3289"/>
            <w:tcMar>
              <w:top w:w="90" w:type="dxa"/>
              <w:start w:w="110" w:type="dxa"/>
              <w:bottom w:w="90" w:type="dxa"/>
              <w:end w:w="110" w:type="dxa"/>
            </w:tcMar>
            <w:vAlign w:val="center"/>
          </w:tcPr>
          <w:p>
            <w:pPr>
              <w:bidi/>
              <w:jc w:val="right"/>
            </w:pPr>
            <w:r>
              <w:rPr>
                <w:rFonts w:ascii="Noto Sans Arabic" w:hAnsi="Noto Sans Arabic" w:cs="Noto Sans Arabic"/>
                <w:b w:val="0"/>
                <w:color w:val="1F2937"/>
                <w:sz w:val="16"/>
                <w:rtl/>
              </w:rPr>
              <w:t>پرامپت اجرایی مرحله‌ای برای Codex یا SimoCode</w:t>
            </w:r>
          </w:p>
        </w:tc>
      </w:tr>
    </w:tbl>
    <w:p>
      <w:pPr>
        <w:spacing w:after="20"/>
      </w:pPr>
    </w:p>
    <w:p>
      <w:pPr>
        <w:keepNext/>
        <w:bidi/>
        <w:spacing w:before="240" w:after="100"/>
        <w:jc w:val="right"/>
        <w:pBdr>
          <w:bottom w:val="single" w:sz="10" w:space="4" w:color="19A7A0"/>
        </w:pBdr>
      </w:pPr>
      <w:r>
        <w:rPr>
          <w:rFonts w:ascii="Noto Sans Arabic" w:hAnsi="Noto Sans Arabic" w:cs="Noto Sans Arabic"/>
          <w:b/>
          <w:color w:val="132A45"/>
          <w:sz w:val="34"/>
          <w:rtl/>
        </w:rPr>
        <w:t>ضمیمه الف: منابع</w:t>
      </w:r>
    </w:p>
    <w:p>
      <w:pPr>
        <w:bidi/>
        <w:spacing w:after="80"/>
        <w:jc w:val="right"/>
      </w:pPr>
      <w:r>
        <w:rPr>
          <w:rFonts w:ascii="Noto Sans Arabic" w:hAnsi="Noto Sans Arabic" w:cs="Noto Sans Arabic"/>
          <w:b/>
          <w:color w:val="19A7A0"/>
          <w:sz w:val="19"/>
          <w:rtl/>
        </w:rPr>
        <w:t xml:space="preserve">[D1] </w:t>
      </w:r>
      <w:r>
        <w:rPr>
          <w:rFonts w:ascii="Noto Sans Arabic" w:hAnsi="Noto Sans Arabic" w:cs="Noto Sans Arabic"/>
          <w:b w:val="0"/>
          <w:sz w:val="19"/>
          <w:rtl/>
        </w:rPr>
        <w:t>مستند نیازمندی «سیستم حقوقی»، بارگذاری‌شده توسط کارفرما، ۱۲ صفحه.</w:t>
      </w:r>
    </w:p>
    <w:p>
      <w:pPr>
        <w:bidi/>
        <w:spacing w:after="80"/>
        <w:jc w:val="right"/>
      </w:pPr>
      <w:r>
        <w:rPr>
          <w:rFonts w:ascii="Noto Sans Arabic" w:hAnsi="Noto Sans Arabic" w:cs="Noto Sans Arabic"/>
          <w:b/>
          <w:color w:val="19A7A0"/>
          <w:sz w:val="19"/>
          <w:rtl/>
        </w:rPr>
        <w:t xml:space="preserve">[R1] </w:t>
      </w:r>
      <w:r>
        <w:rPr>
          <w:rFonts w:ascii="Noto Sans Arabic" w:hAnsi="Noto Sans Arabic" w:cs="Noto Sans Arabic"/>
          <w:b w:val="0"/>
          <w:sz w:val="19"/>
          <w:rtl/>
        </w:rPr>
        <w:t xml:space="preserve">قانون تجارت الکترونیکی، مصوب ۱۳۸۲/۱۰/۱۷. </w:t>
      </w:r>
      <w:hyperlink r:id="rId11">
        <w:r>
          <w:rPr>
            <w:color w:val="0563C1"/>
            <w:u w:val="single"/>
            <w:rFonts w:ascii="Noto Sans Arabic" w:hAnsi="Noto Sans Arabic" w:cs="Noto Sans Arabic"/>
            <w:rtl/>
          </w:rPr>
          <w:t>مشاهده منبع</w:t>
        </w:r>
      </w:hyperlink>
    </w:p>
    <w:p>
      <w:pPr>
        <w:bidi/>
        <w:spacing w:after="80"/>
        <w:jc w:val="right"/>
      </w:pPr>
      <w:r>
        <w:rPr>
          <w:rFonts w:ascii="Noto Sans Arabic" w:hAnsi="Noto Sans Arabic" w:cs="Noto Sans Arabic"/>
          <w:b/>
          <w:color w:val="19A7A0"/>
          <w:sz w:val="19"/>
          <w:rtl/>
        </w:rPr>
        <w:t xml:space="preserve">[R2] </w:t>
      </w:r>
      <w:r>
        <w:rPr>
          <w:rFonts w:ascii="Noto Sans Arabic" w:hAnsi="Noto Sans Arabic" w:cs="Noto Sans Arabic"/>
          <w:b w:val="0"/>
          <w:sz w:val="19"/>
          <w:rtl/>
        </w:rPr>
        <w:t xml:space="preserve">قانون جرایم رایانه‌ای، مصوب ۱۳۸۸/۰۳/۰۵. </w:t>
      </w:r>
      <w:hyperlink r:id="rId12">
        <w:r>
          <w:rPr>
            <w:color w:val="0563C1"/>
            <w:u w:val="single"/>
            <w:rFonts w:ascii="Noto Sans Arabic" w:hAnsi="Noto Sans Arabic" w:cs="Noto Sans Arabic"/>
            <w:rtl/>
          </w:rPr>
          <w:t>مشاهده منبع</w:t>
        </w:r>
      </w:hyperlink>
    </w:p>
    <w:p>
      <w:pPr>
        <w:bidi/>
        <w:spacing w:after="80"/>
        <w:jc w:val="right"/>
      </w:pPr>
      <w:r>
        <w:rPr>
          <w:rFonts w:ascii="Noto Sans Arabic" w:hAnsi="Noto Sans Arabic" w:cs="Noto Sans Arabic"/>
          <w:b/>
          <w:color w:val="19A7A0"/>
          <w:sz w:val="19"/>
          <w:rtl/>
        </w:rPr>
        <w:t xml:space="preserve">[R3] </w:t>
      </w:r>
      <w:r>
        <w:rPr>
          <w:rFonts w:ascii="Noto Sans Arabic" w:hAnsi="Noto Sans Arabic" w:cs="Noto Sans Arabic"/>
          <w:b w:val="0"/>
          <w:sz w:val="19"/>
          <w:rtl/>
        </w:rPr>
        <w:t xml:space="preserve">آیین‌نامه جمع‌آوری و استنادپذیری ادله الکترونیکی، مصوب ۱۳۹۳/۰۵/۱۲. </w:t>
      </w:r>
      <w:hyperlink r:id="rId13">
        <w:r>
          <w:rPr>
            <w:color w:val="0563C1"/>
            <w:u w:val="single"/>
            <w:rFonts w:ascii="Noto Sans Arabic" w:hAnsi="Noto Sans Arabic" w:cs="Noto Sans Arabic"/>
            <w:rtl/>
          </w:rPr>
          <w:t>مشاهده منبع</w:t>
        </w:r>
      </w:hyperlink>
    </w:p>
    <w:p>
      <w:pPr>
        <w:bidi/>
        <w:spacing w:after="80"/>
        <w:jc w:val="right"/>
      </w:pPr>
      <w:r>
        <w:rPr>
          <w:rFonts w:ascii="Noto Sans Arabic" w:hAnsi="Noto Sans Arabic" w:cs="Noto Sans Arabic"/>
          <w:b/>
          <w:color w:val="19A7A0"/>
          <w:sz w:val="19"/>
          <w:rtl/>
        </w:rPr>
        <w:t xml:space="preserve">[R4] </w:t>
      </w:r>
      <w:r>
        <w:rPr>
          <w:rFonts w:ascii="Noto Sans Arabic" w:hAnsi="Noto Sans Arabic" w:cs="Noto Sans Arabic"/>
          <w:b w:val="0"/>
          <w:sz w:val="19"/>
          <w:rtl/>
        </w:rPr>
        <w:t xml:space="preserve">قانون انتشار و دسترسی آزاد به اطلاعات، مصوب ۱۳۸۷/۱۱/۰۶. </w:t>
      </w:r>
      <w:hyperlink r:id="rId14">
        <w:r>
          <w:rPr>
            <w:color w:val="0563C1"/>
            <w:u w:val="single"/>
            <w:rFonts w:ascii="Noto Sans Arabic" w:hAnsi="Noto Sans Arabic" w:cs="Noto Sans Arabic"/>
            <w:rtl/>
          </w:rPr>
          <w:t>مشاهده منبع</w:t>
        </w:r>
      </w:hyperlink>
    </w:p>
    <w:p>
      <w:pPr>
        <w:bidi/>
        <w:spacing w:after="80"/>
        <w:jc w:val="right"/>
      </w:pPr>
      <w:r>
        <w:rPr>
          <w:rFonts w:ascii="Noto Sans Arabic" w:hAnsi="Noto Sans Arabic" w:cs="Noto Sans Arabic"/>
          <w:b/>
          <w:color w:val="19A7A0"/>
          <w:sz w:val="19"/>
          <w:rtl/>
        </w:rPr>
        <w:t xml:space="preserve">[R5] </w:t>
      </w:r>
      <w:r>
        <w:rPr>
          <w:rFonts w:ascii="Noto Sans Arabic" w:hAnsi="Noto Sans Arabic" w:cs="Noto Sans Arabic"/>
          <w:b w:val="0"/>
          <w:sz w:val="19"/>
          <w:rtl/>
        </w:rPr>
        <w:t xml:space="preserve">قانون حمایت از حقوق مصرف‌کنندگان، مصوب ۱۳۸۸/۰۷/۱۵. </w:t>
      </w:r>
      <w:hyperlink r:id="rId15">
        <w:r>
          <w:rPr>
            <w:color w:val="0563C1"/>
            <w:u w:val="single"/>
            <w:rFonts w:ascii="Noto Sans Arabic" w:hAnsi="Noto Sans Arabic" w:cs="Noto Sans Arabic"/>
            <w:rtl/>
          </w:rPr>
          <w:t>مشاهده منبع</w:t>
        </w:r>
      </w:hyperlink>
    </w:p>
    <w:p>
      <w:pPr>
        <w:bidi/>
        <w:spacing w:after="80"/>
        <w:jc w:val="right"/>
      </w:pPr>
      <w:r>
        <w:rPr>
          <w:rFonts w:ascii="Noto Sans Arabic" w:hAnsi="Noto Sans Arabic" w:cs="Noto Sans Arabic"/>
          <w:b/>
          <w:color w:val="19A7A0"/>
          <w:sz w:val="19"/>
          <w:rtl/>
        </w:rPr>
        <w:t xml:space="preserve">[R6] </w:t>
      </w:r>
      <w:r>
        <w:rPr>
          <w:rFonts w:ascii="Noto Sans Arabic" w:hAnsi="Noto Sans Arabic" w:cs="Noto Sans Arabic"/>
          <w:b w:val="0"/>
          <w:sz w:val="19"/>
          <w:rtl/>
        </w:rPr>
        <w:t xml:space="preserve">آیین‌نامه اجرایی لایحه قانونی استقلال کانون وکلای دادگستری، مصوب ۱۴۰۰ با اصلاحات ۱۴۰۲. </w:t>
      </w:r>
      <w:hyperlink r:id="rId16">
        <w:r>
          <w:rPr>
            <w:color w:val="0563C1"/>
            <w:u w:val="single"/>
            <w:rFonts w:ascii="Noto Sans Arabic" w:hAnsi="Noto Sans Arabic" w:cs="Noto Sans Arabic"/>
            <w:rtl/>
          </w:rPr>
          <w:t>مشاهده منبع</w:t>
        </w:r>
      </w:hyperlink>
    </w:p>
    <w:p>
      <w:pPr>
        <w:bidi/>
        <w:spacing w:after="80"/>
        <w:jc w:val="right"/>
      </w:pPr>
      <w:r>
        <w:rPr>
          <w:rFonts w:ascii="Noto Sans Arabic" w:hAnsi="Noto Sans Arabic" w:cs="Noto Sans Arabic"/>
          <w:b/>
          <w:color w:val="19A7A0"/>
          <w:sz w:val="19"/>
          <w:rtl/>
        </w:rPr>
        <w:t xml:space="preserve">[R7] </w:t>
      </w:r>
      <w:r>
        <w:rPr>
          <w:rFonts w:ascii="Noto Sans Arabic" w:hAnsi="Noto Sans Arabic" w:cs="Noto Sans Arabic"/>
          <w:b w:val="0"/>
          <w:sz w:val="19"/>
          <w:rtl/>
        </w:rPr>
        <w:t xml:space="preserve">قانون مدیریت داده‌ها و اطلاعات ملی. </w:t>
      </w:r>
      <w:hyperlink r:id="rId17">
        <w:r>
          <w:rPr>
            <w:color w:val="0563C1"/>
            <w:u w:val="single"/>
            <w:rFonts w:ascii="Noto Sans Arabic" w:hAnsi="Noto Sans Arabic" w:cs="Noto Sans Arabic"/>
            <w:rtl/>
          </w:rPr>
          <w:t>مشاهده منبع</w:t>
        </w:r>
      </w:hyperlink>
    </w:p>
    <w:p>
      <w:pPr>
        <w:bidi/>
        <w:spacing w:after="80"/>
        <w:jc w:val="right"/>
      </w:pPr>
      <w:r>
        <w:rPr>
          <w:rFonts w:ascii="Noto Sans Arabic" w:hAnsi="Noto Sans Arabic" w:cs="Noto Sans Arabic"/>
          <w:b/>
          <w:color w:val="19A7A0"/>
          <w:sz w:val="19"/>
          <w:rtl/>
        </w:rPr>
        <w:t xml:space="preserve">[R8] </w:t>
      </w:r>
      <w:r>
        <w:rPr>
          <w:rFonts w:ascii="Noto Sans Arabic" w:hAnsi="Noto Sans Arabic" w:cs="Noto Sans Arabic"/>
          <w:b w:val="0"/>
          <w:sz w:val="19"/>
          <w:rtl/>
        </w:rPr>
        <w:t xml:space="preserve">سند ملی هوش مصنوعی جمهوری اسلامی ایران، مصوب ۱۴۰۳. </w:t>
      </w:r>
      <w:hyperlink r:id="rId18">
        <w:r>
          <w:rPr>
            <w:color w:val="0563C1"/>
            <w:u w:val="single"/>
            <w:rFonts w:ascii="Noto Sans Arabic" w:hAnsi="Noto Sans Arabic" w:cs="Noto Sans Arabic"/>
            <w:rtl/>
          </w:rPr>
          <w:t>مشاهده منبع</w:t>
        </w:r>
      </w:hyperlink>
    </w:p>
    <w:tbl>
      <w:tblPr>
        <w:tblW w:type="auto" w:w="0"/>
        <w:jc w:val="center"/>
        <w:tblLook w:firstColumn="1" w:firstRow="1" w:lastColumn="0" w:lastRow="0" w:noHBand="0" w:noVBand="1" w:val="04A0"/>
      </w:tblPr>
      <w:tblGrid>
        <w:gridCol w:w="9866"/>
      </w:tblGrid>
      <w:tr>
        <w:trPr>
          <w:cantSplit/>
        </w:trPr>
        <w:tc>
          <w:tcPr>
            <w:tcW w:type="dxa" w:w="9866"/>
            <w:shd w:fill="FFF8E7"/>
            <w:tcMar>
              <w:top w:w="160" w:type="dxa"/>
              <w:start w:w="200" w:type="dxa"/>
              <w:bottom w:w="160" w:type="dxa"/>
              <w:end w:w="200" w:type="dxa"/>
            </w:tcMar>
            <w:tcBorders>
              <w:top w:val="single" w:sz="8" w:color="D69E2E"/>
              <w:left w:val="single" w:sz="8" w:color="D69E2E"/>
              <w:bottom w:val="single" w:sz="8" w:color="D69E2E"/>
              <w:right w:val="single" w:sz="8" w:color="D69E2E"/>
            </w:tcBorders>
          </w:tcPr>
          <w:p>
            <w:pPr>
              <w:bidi/>
              <w:jc w:val="right"/>
            </w:pPr>
            <w:r>
              <w:rPr>
                <w:rFonts w:ascii="Noto Sans Arabic" w:hAnsi="Noto Sans Arabic" w:cs="Noto Sans Arabic"/>
                <w:b/>
                <w:color w:val="132A45"/>
                <w:sz w:val="22"/>
                <w:rtl/>
              </w:rPr>
              <w:t>وضعیت منابع</w:t>
              <w:br/>
            </w:r>
            <w:r>
              <w:rPr>
                <w:rFonts w:ascii="Noto Sans Arabic" w:hAnsi="Noto Sans Arabic" w:cs="Noto Sans Arabic"/>
                <w:b w:val="0"/>
                <w:color w:val="1F2937"/>
                <w:sz w:val="20"/>
                <w:rtl/>
              </w:rPr>
              <w:t>فهرست بالا برای Product Vision کافی است، اما مبنای نهایی انطباق نیست. در سند بعدی باید متن تنقیحی و آخرین اصلاحات هر منبع، دامنه شمول، مواد کلیدی و مرجع رسمی انتشار توسط تیم حقوقی کنترل شود.</w:t>
            </w:r>
          </w:p>
        </w:tc>
      </w:tr>
    </w:tbl>
    <w:p>
      <w:pPr>
        <w:spacing w:after="20"/>
      </w:pPr>
    </w:p>
    <w:p>
      <w:r>
        <w:br w:type="page"/>
      </w:r>
    </w:p>
    <w:p>
      <w:pPr>
        <w:keepNext/>
        <w:bidi/>
        <w:spacing w:before="240" w:after="100"/>
        <w:jc w:val="right"/>
        <w:pBdr>
          <w:bottom w:val="single" w:sz="10" w:space="4" w:color="19A7A0"/>
        </w:pBdr>
      </w:pPr>
      <w:r>
        <w:rPr>
          <w:rFonts w:ascii="Noto Sans Arabic" w:hAnsi="Noto Sans Arabic" w:cs="Noto Sans Arabic"/>
          <w:b/>
          <w:color w:val="132A45"/>
          <w:sz w:val="34"/>
          <w:rtl/>
        </w:rPr>
        <w:t>ضمیمه ب: واژه‌نامه</w:t>
      </w:r>
    </w:p>
    <w:tbl>
      <w:tblPr>
        <w:tblStyle w:val="TableGrid"/>
        <w:tblW w:type="auto" w:w="0"/>
        <w:jc w:val="center"/>
        <w:tblLayout w:type="autofit"/>
        <w:tblLook w:firstColumn="1" w:firstRow="1" w:lastColumn="0" w:lastRow="0" w:noHBand="0" w:noVBand="1" w:val="04A0"/>
      </w:tblPr>
      <w:tblGrid>
        <w:gridCol w:w="4933"/>
        <w:gridCol w:w="4933"/>
      </w:tblGrid>
      <w:tr>
        <w:trPr>
          <w:tblHeader w:val="true"/>
          <w:cantSplit/>
        </w:trPr>
        <w:tc>
          <w:tcPr>
            <w:tcW w:type="dxa" w:w="4933"/>
            <w:shd w:fill="132A45"/>
            <w:tcMar>
              <w:top w:w="90" w:type="dxa"/>
              <w:start w:w="110" w:type="dxa"/>
              <w:bottom w:w="90" w:type="dxa"/>
              <w:end w:w="110" w:type="dxa"/>
            </w:tcMar>
            <w:vAlign w:val="center"/>
          </w:tcPr>
          <w:p>
            <w:pPr>
              <w:bidi/>
              <w:jc w:val="right"/>
            </w:pPr>
            <w:r>
              <w:rPr>
                <w:rFonts w:ascii="Noto Sans Arabic" w:hAnsi="Noto Sans Arabic" w:cs="Noto Sans Arabic"/>
                <w:b/>
                <w:color w:val="FFFFFF"/>
                <w:sz w:val="17"/>
                <w:rtl/>
              </w:rPr>
              <w:t>واژه</w:t>
            </w:r>
          </w:p>
        </w:tc>
        <w:tc>
          <w:tcPr>
            <w:tcW w:type="dxa" w:w="4933"/>
            <w:shd w:fill="132A45"/>
            <w:tcMar>
              <w:top w:w="90" w:type="dxa"/>
              <w:start w:w="110" w:type="dxa"/>
              <w:bottom w:w="90" w:type="dxa"/>
              <w:end w:w="110" w:type="dxa"/>
            </w:tcMar>
            <w:vAlign w:val="center"/>
          </w:tcPr>
          <w:p>
            <w:pPr>
              <w:bidi/>
              <w:jc w:val="right"/>
            </w:pPr>
            <w:r>
              <w:rPr>
                <w:rFonts w:ascii="Noto Sans Arabic" w:hAnsi="Noto Sans Arabic" w:cs="Noto Sans Arabic"/>
                <w:b/>
                <w:color w:val="FFFFFF"/>
                <w:sz w:val="17"/>
                <w:rtl/>
              </w:rPr>
              <w:t>تعریف در این سند</w:t>
            </w:r>
          </w:p>
        </w:tc>
      </w:tr>
      <w:tr>
        <w:trPr>
          <w:cantSplit/>
        </w:trPr>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7"/>
                <w:rtl/>
              </w:rPr>
              <w:t>AI Consultation</w:t>
            </w:r>
          </w:p>
        </w:tc>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7"/>
                <w:rtl/>
              </w:rPr>
              <w:t>راهنمایی اولیه و ساختاریافته توسط AI؛ نه نظر حرفه‌ای قطعی وکیل.</w:t>
            </w:r>
          </w:p>
        </w:tc>
      </w:tr>
      <w:tr>
        <w:trPr>
          <w:cantSplit/>
        </w:trPr>
        <w:tc>
          <w:tcPr>
            <w:tcW w:type="dxa" w:w="4933"/>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7"/>
                <w:rtl/>
              </w:rPr>
              <w:t>Legal Knowledge Engine</w:t>
            </w:r>
          </w:p>
        </w:tc>
        <w:tc>
          <w:tcPr>
            <w:tcW w:type="dxa" w:w="4933"/>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7"/>
                <w:rtl/>
              </w:rPr>
              <w:t>سامانه دریافت، نسخه‌بندی، بازیابی و ارتباط‌دهی منابع حقوقی.</w:t>
            </w:r>
          </w:p>
        </w:tc>
      </w:tr>
      <w:tr>
        <w:trPr>
          <w:cantSplit/>
        </w:trPr>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7"/>
                <w:rtl/>
              </w:rPr>
              <w:t>RAG</w:t>
            </w:r>
          </w:p>
        </w:tc>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7"/>
                <w:rtl/>
              </w:rPr>
              <w:t>تولید پاسخ با بازیابی اطلاعات از منابع کنترل‌شده و ارائه Context به مدل.</w:t>
            </w:r>
          </w:p>
        </w:tc>
      </w:tr>
      <w:tr>
        <w:trPr>
          <w:cantSplit/>
        </w:trPr>
        <w:tc>
          <w:tcPr>
            <w:tcW w:type="dxa" w:w="4933"/>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7"/>
                <w:rtl/>
              </w:rPr>
              <w:t>Human Review</w:t>
            </w:r>
          </w:p>
        </w:tc>
        <w:tc>
          <w:tcPr>
            <w:tcW w:type="dxa" w:w="4933"/>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7"/>
                <w:rtl/>
              </w:rPr>
              <w:t>بررسی و تأیید خروجی AI توسط فرد دارای نقش و صلاحیت تعریف‌شده.</w:t>
            </w:r>
          </w:p>
        </w:tc>
      </w:tr>
      <w:tr>
        <w:trPr>
          <w:cantSplit/>
        </w:trPr>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7"/>
                <w:rtl/>
              </w:rPr>
              <w:t>Legal Citation</w:t>
            </w:r>
          </w:p>
        </w:tc>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7"/>
                <w:rtl/>
              </w:rPr>
              <w:t>ارجاع قابل مشاهده به منبع، ماده/بخش، تاریخ و نسخه مرتبط.</w:t>
            </w:r>
          </w:p>
        </w:tc>
      </w:tr>
      <w:tr>
        <w:trPr>
          <w:cantSplit/>
        </w:trPr>
        <w:tc>
          <w:tcPr>
            <w:tcW w:type="dxa" w:w="4933"/>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7"/>
                <w:rtl/>
              </w:rPr>
              <w:t>Case Workspace</w:t>
            </w:r>
          </w:p>
        </w:tc>
        <w:tc>
          <w:tcPr>
            <w:tcW w:type="dxa" w:w="4933"/>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7"/>
                <w:rtl/>
              </w:rPr>
              <w:t>فضای خصوصی برای واقعیت‌ها، اسناد، افراد، رویدادها، کارها و مکالمات یک موضوع حقوقی.</w:t>
            </w:r>
          </w:p>
        </w:tc>
      </w:tr>
      <w:tr>
        <w:trPr>
          <w:cantSplit/>
        </w:trPr>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7"/>
                <w:rtl/>
              </w:rPr>
              <w:t>Marketplace</w:t>
            </w:r>
          </w:p>
        </w:tc>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7"/>
                <w:rtl/>
              </w:rPr>
              <w:t>بستر کشف، انتخاب، رزرو و دریافت خدمت از وکلای احراز‌شده.</w:t>
            </w:r>
          </w:p>
        </w:tc>
      </w:tr>
      <w:tr>
        <w:trPr>
          <w:cantSplit/>
        </w:trPr>
        <w:tc>
          <w:tcPr>
            <w:tcW w:type="dxa" w:w="4933"/>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7"/>
                <w:rtl/>
              </w:rPr>
              <w:t>CLM</w:t>
            </w:r>
          </w:p>
        </w:tc>
        <w:tc>
          <w:tcPr>
            <w:tcW w:type="dxa" w:w="4933"/>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7"/>
                <w:rtl/>
              </w:rPr>
              <w:t>مدیریت چرخه عمر قرارداد از درخواست و تنظیم تا تأیید، امضا، تعهد، تمدید و خاتمه.</w:t>
            </w:r>
          </w:p>
        </w:tc>
      </w:tr>
      <w:tr>
        <w:trPr>
          <w:cantSplit/>
        </w:trPr>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7"/>
                <w:rtl/>
              </w:rPr>
              <w:t>Audit Trail</w:t>
            </w:r>
          </w:p>
        </w:tc>
        <w:tc>
          <w:tcPr>
            <w:tcW w:type="dxa" w:w="4933"/>
            <w:tcMar>
              <w:top w:w="90" w:type="dxa"/>
              <w:start w:w="110" w:type="dxa"/>
              <w:bottom w:w="90" w:type="dxa"/>
              <w:end w:w="110" w:type="dxa"/>
            </w:tcMar>
            <w:vAlign w:val="center"/>
          </w:tcPr>
          <w:p>
            <w:pPr>
              <w:bidi/>
              <w:jc w:val="right"/>
            </w:pPr>
            <w:r>
              <w:rPr>
                <w:rFonts w:ascii="Noto Sans Arabic" w:hAnsi="Noto Sans Arabic" w:cs="Noto Sans Arabic"/>
                <w:b w:val="0"/>
                <w:color w:val="1F2937"/>
                <w:sz w:val="17"/>
                <w:rtl/>
              </w:rPr>
              <w:t>سابقه تغییرناپذیر یا قابل ممیزی از رویدادها و اقدامات حساس سیستم.</w:t>
            </w:r>
          </w:p>
        </w:tc>
      </w:tr>
      <w:tr>
        <w:trPr>
          <w:cantSplit/>
        </w:trPr>
        <w:tc>
          <w:tcPr>
            <w:tcW w:type="dxa" w:w="4933"/>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7"/>
                <w:rtl/>
              </w:rPr>
              <w:t>Tenant</w:t>
            </w:r>
          </w:p>
        </w:tc>
        <w:tc>
          <w:tcPr>
            <w:tcW w:type="dxa" w:w="4933"/>
            <w:tcMar>
              <w:top w:w="90" w:type="dxa"/>
              <w:start w:w="110" w:type="dxa"/>
              <w:bottom w:w="90" w:type="dxa"/>
              <w:end w:w="110" w:type="dxa"/>
            </w:tcMar>
            <w:vAlign w:val="center"/>
            <w:shd w:fill="F4F7FA"/>
          </w:tcPr>
          <w:p>
            <w:pPr>
              <w:bidi/>
              <w:jc w:val="right"/>
            </w:pPr>
            <w:r>
              <w:rPr>
                <w:rFonts w:ascii="Noto Sans Arabic" w:hAnsi="Noto Sans Arabic" w:cs="Noto Sans Arabic"/>
                <w:b w:val="0"/>
                <w:color w:val="1F2937"/>
                <w:sz w:val="17"/>
                <w:rtl/>
              </w:rPr>
              <w:t>فضای داده و تنظیمات مستقل یک سازمان در محصول چندسازمانی.</w:t>
            </w:r>
          </w:p>
        </w:tc>
      </w:tr>
    </w:tbl>
    <w:p>
      <w:pPr>
        <w:spacing w:after="20"/>
      </w:pPr>
    </w:p>
    <w:p>
      <w:pPr>
        <w:spacing w:before="360"/>
        <w:bidi/>
        <w:jc w:val="center"/>
      </w:pPr>
      <w:r>
        <w:rPr>
          <w:rFonts w:ascii="Noto Sans Arabic" w:hAnsi="Noto Sans Arabic" w:cs="Noto Sans Arabic"/>
          <w:b/>
          <w:color w:val="132A45"/>
          <w:sz w:val="22"/>
          <w:rtl/>
        </w:rPr>
        <w:t>پایان سند Product Vision - LEGALIR v1.0</w:t>
      </w:r>
    </w:p>
    <w:sectPr w:rsidR="00FC693F" w:rsidRPr="0006063C" w:rsidSect="00034616">
      <w:headerReference w:type="default" r:id="rId9"/>
      <w:footerReference w:type="default" r:id="rId10"/>
      <w:pgSz w:w="11906" w:h="16838"/>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Noto Sans Arabic" w:hAnsi="Noto Sans Arabic" w:cs="Noto Sans Arabic"/>
        <w:b w:val="0"/>
        <w:color w:val="6B7280"/>
        <w:sz w:val="17"/>
        <w:rtl/>
      </w:rPr>
      <w:t>محرمانه - نسخه طراحی محصول</w:t>
    </w:r>
    <w:r>
      <w:rPr>
        <w:rFonts w:ascii="Noto Sans Arabic" w:hAnsi="Noto Sans Arabic" w:cs="Noto Sans Arabic"/>
        <w:b w:val="0"/>
        <w:color w:val="6B7280"/>
        <w:sz w:val="17"/>
        <w:rtl/>
      </w:rPr>
      <w:t xml:space="preserve">   |   صفحه </w:t>
    </w:r>
    <w:r>
      <w:rPr>
        <w:rFonts w:ascii="Noto Sans Arabic" w:hAnsi="Noto Sans Arabic" w:cs="Noto Sans Arabic"/>
        <w:color w:val="6B7280"/>
        <w:sz w:val="18"/>
        <w:rtl/>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jc w:val="right"/>
    </w:pPr>
    <w:r>
      <w:rPr>
        <w:rFonts w:ascii="Noto Sans Arabic" w:hAnsi="Noto Sans Arabic" w:cs="Noto Sans Arabic"/>
        <w:b/>
        <w:color w:val="6B7280"/>
        <w:sz w:val="18"/>
        <w:rtl/>
      </w:rPr>
      <w:t>LEGALIR  |  سند چشم‌انداز محصول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cs="Noto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ezamat.ir/post-34221/" TargetMode="External"/><Relationship Id="rId12" Type="http://schemas.openxmlformats.org/officeDocument/2006/relationships/hyperlink" Target="https://nezamat.ir/post-37592/" TargetMode="External"/><Relationship Id="rId13" Type="http://schemas.openxmlformats.org/officeDocument/2006/relationships/hyperlink" Target="https://nezamat.ir/post-39576/" TargetMode="External"/><Relationship Id="rId14" Type="http://schemas.openxmlformats.org/officeDocument/2006/relationships/hyperlink" Target="https://nezamat.ir/post-37380/" TargetMode="External"/><Relationship Id="rId15" Type="http://schemas.openxmlformats.org/officeDocument/2006/relationships/hyperlink" Target="https://nezamat.ir/post-37754/" TargetMode="External"/><Relationship Id="rId16" Type="http://schemas.openxmlformats.org/officeDocument/2006/relationships/hyperlink" Target="https://nezamat.ir/post-42736/" TargetMode="External"/><Relationship Id="rId17" Type="http://schemas.openxmlformats.org/officeDocument/2006/relationships/hyperlink" Target="https://nezamat.ir/post-44082/" TargetMode="External"/><Relationship Id="rId18" Type="http://schemas.openxmlformats.org/officeDocument/2006/relationships/hyperlink" Target="https://nezamat.ir/%D8%B3%D9%86%D8%AF-%D9%85%D9%84%DB%8C-%D9%87%D9%88%D8%B4-%D9%85%D8%B5%D9%86%D9%88%D8%B9%DB%8C-%D8%AC%D9%85%D9%87%D9%88%D8%B1%DB%8C-%D8%A7%D8%B3%D9%84%D8%A7%D9%85%DB%8C-%D8%A7%DB%8C%D8%B1%D8%A7%D9%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LEGALIR Product Vision v1.0</dc:title>
  <dc:subject>سند چشم‌انداز محصول حقوقی مبتنی بر هوش مصنوعی برای ایران</dc:subject>
  <dc:creator>LEGALIR Product Team</dc:creator>
  <cp:keywords>LEGALIR, LegalTech, Product Vision, AI, Iran</cp:keywords>
  <dc:description>Draft product strategy; requires legal validation before public launch.</dc:description>
  <cp:lastModifiedBy/>
  <cp:revision>1</cp:revision>
  <dcterms:created xsi:type="dcterms:W3CDTF">2013-12-23T23:15:00Z</dcterms:created>
  <dcterms:modified xsi:type="dcterms:W3CDTF">2013-12-23T23:15:00Z</dcterms:modified>
  <cp:category/>
</cp:coreProperties>
</file>