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 w:line="240" w:lineRule="auto"/>
      </w:pPr>
      <w:r>
        <w:rPr>
          <w:rFonts w:ascii="Hiragino Sans GB" w:hAnsi="Hiragino Sans GB" w:eastAsia="Hiragino Sans GB" w:cs="Hiragino Sans GB"/>
        </w:rPr>
        <w:t>V2 AI赋能问答演示手册</w:t>
      </w:r>
    </w:p>
    <w:p>
      <w:pPr>
        <w:widowControl/>
        <w:spacing w:line="240" w:lineRule="auto" w:after="60"/>
      </w:pPr>
      <w:r>
        <w:rPr>
          <w:rFonts w:ascii="Hiragino Sans GB" w:hAnsi="Hiragino Sans GB" w:eastAsia="Hiragino Sans GB" w:cs="Hiragino Sans GB"/>
          <w:b w:val="0"/>
        </w:rPr>
        <w:t>覆盖周边资源、人装抽组、处置方案、灾情态势、力量投送、救援复盘、物资核验七个入口。当前为模拟业务数据及预设问答，未接入大模型或实时气象、导航接口。</w:t>
      </w:r>
    </w:p>
    <w:p>
      <w:pPr>
        <w:pStyle w:val="Heading1"/>
        <w:spacing w:line="240" w:lineRule="auto" w:after="60"/>
      </w:pPr>
      <w:r>
        <w:rPr>
          <w:rFonts w:ascii="Hiragino Sans GB" w:hAnsi="Hiragino Sans GB" w:eastAsia="Hiragino Sans GB" w:cs="Hiragino Sans GB"/>
        </w:rPr>
        <w:t>数据与演示口径</w:t>
      </w:r>
    </w:p>
    <w:p>
      <w:pPr>
        <w:pStyle w:val="ListBullet"/>
        <w:widowControl/>
        <w:spacing w:line="240" w:lineRule="auto" w:after="60"/>
      </w:pPr>
      <w:r>
        <w:rPr>
          <w:rFonts w:ascii="Hiragino Sans GB" w:hAnsi="Hiragino Sans GB" w:eastAsia="Hiragino Sans GB" w:cs="Hiragino Sans GB"/>
          <w:b w:val="0"/>
        </w:rPr>
        <w:t>事件：江西省吉安市遂川县高坪镇明坑村山体滑坡。</w:t>
      </w:r>
    </w:p>
    <w:p>
      <w:pPr>
        <w:pStyle w:val="ListBullet"/>
        <w:widowControl/>
        <w:spacing w:line="240" w:lineRule="auto" w:after="60"/>
      </w:pPr>
      <w:r>
        <w:rPr>
          <w:rFonts w:ascii="Hiragino Sans GB" w:hAnsi="Hiragino Sans GB" w:eastAsia="Hiragino Sans GB" w:cs="Hiragino Sans GB"/>
          <w:b w:val="0"/>
        </w:rPr>
        <w:t>已补齐审批报备3条、救援任务6条、要情快报3条、总结记录3条；物资四个页签各5类数据。处置方案另补3条草稿版本记录。新增记录均为演示，草稿未盖章。</w:t>
      </w:r>
    </w:p>
    <w:p>
      <w:pPr>
        <w:pStyle w:val="ListBullet"/>
        <w:widowControl/>
        <w:spacing w:line="240" w:lineRule="auto" w:after="60"/>
      </w:pPr>
      <w:r>
        <w:rPr>
          <w:rFonts w:ascii="Hiragino Sans GB" w:hAnsi="Hiragino Sans GB" w:eastAsia="Hiragino Sans GB" w:cs="Hiragino Sans GB"/>
          <w:b w:val="0"/>
        </w:rPr>
        <w:t>物资统计时点2026-09-07 18:00：下一阶段缺饮用水25箱、雨衣10件、急救包8套；饮用水账面50箱、盘点45箱，差异-5箱。</w:t>
      </w:r>
    </w:p>
    <w:p>
      <w:pPr>
        <w:pStyle w:val="ListBullet"/>
        <w:widowControl/>
        <w:spacing w:line="240" w:lineRule="auto" w:after="60"/>
      </w:pPr>
      <w:r>
        <w:rPr>
          <w:rFonts w:ascii="Hiragino Sans GB" w:hAnsi="Hiragino Sans GB" w:eastAsia="Hiragino Sans GB" w:cs="Hiragino Sans GB"/>
          <w:b w:val="0"/>
        </w:rPr>
        <w:t>消耗为已出库物资使用情况，不重复扣减库存；不同单位不合计。物资补给是后续任务，不倒推初次出动装载量。</w:t>
      </w:r>
    </w:p>
    <w:p>
      <w:pPr>
        <w:pStyle w:val="ListBullet"/>
        <w:widowControl/>
        <w:spacing w:line="240" w:lineRule="auto" w:after="60"/>
      </w:pPr>
      <w:r>
        <w:rPr>
          <w:rFonts w:ascii="Hiragino Sans GB" w:hAnsi="Hiragino Sans GB" w:eastAsia="Hiragino Sans GB" w:cs="Hiragino Sans GB"/>
          <w:b w:val="0"/>
        </w:rPr>
        <w:t>人数口径继续保留：抽组50/30人、投送52/28人，均合计80人；18人备勤候选不叠加，需人工复核版本。</w:t>
      </w:r>
    </w:p>
    <w:p>
      <w:pPr>
        <w:pStyle w:val="Heading1"/>
        <w:spacing w:line="240" w:lineRule="auto" w:after="60"/>
      </w:pPr>
      <w:r>
        <w:rPr>
          <w:rFonts w:ascii="Hiragino Sans GB" w:hAnsi="Hiragino Sans GB" w:eastAsia="Hiragino Sans GB" w:cs="Hiragino Sans GB"/>
        </w:rPr>
        <w:t>演示步骤</w:t>
      </w:r>
    </w:p>
    <w:p>
      <w:pPr>
        <w:pStyle w:val="ListNumber"/>
        <w:widowControl/>
        <w:spacing w:line="240" w:lineRule="auto" w:after="60"/>
      </w:pPr>
      <w:r>
        <w:rPr>
          <w:rFonts w:ascii="Hiragino Sans GB" w:hAnsi="Hiragino Sans GB" w:eastAsia="Hiragino Sans GB" w:cs="Hiragino Sans GB"/>
          <w:b w:val="0"/>
        </w:rPr>
        <w:t>进入对应页面，点击 AI 按钮。</w:t>
      </w:r>
    </w:p>
    <w:p>
      <w:pPr>
        <w:pStyle w:val="ListNumber"/>
        <w:widowControl/>
        <w:spacing w:line="240" w:lineRule="auto" w:after="60"/>
      </w:pPr>
      <w:r>
        <w:rPr>
          <w:rFonts w:ascii="Hiragino Sans GB" w:hAnsi="Hiragino Sans GB" w:eastAsia="Hiragino Sans GB" w:cs="Hiragino Sans GB"/>
          <w:b w:val="0"/>
        </w:rPr>
        <w:t>报告类入口完成后，点击正文右上角“关闭文书”返回聊天；物资核验直接展示聊天结果。</w:t>
      </w:r>
    </w:p>
    <w:p>
      <w:pPr>
        <w:pStyle w:val="ListNumber"/>
        <w:widowControl/>
        <w:spacing w:line="240" w:lineRule="auto" w:after="60"/>
      </w:pPr>
      <w:r>
        <w:rPr>
          <w:rFonts w:ascii="Hiragino Sans GB" w:hAnsi="Hiragino Sans GB" w:eastAsia="Hiragino Sans GB" w:cs="Hiragino Sans GB"/>
          <w:b w:val="0"/>
        </w:rPr>
        <w:t>复制下列“我方发送”话术，或发送“继续”承接上一条提示。</w:t>
      </w:r>
    </w:p>
    <w:p>
      <w:pPr>
        <w:pStyle w:val="ListNumber"/>
        <w:widowControl/>
        <w:spacing w:line="240" w:lineRule="auto" w:after="60"/>
      </w:pPr>
      <w:r>
        <w:rPr>
          <w:rFonts w:ascii="Hiragino Sans GB" w:hAnsi="Hiragino Sans GB" w:eastAsia="Hiragino Sans GB" w:cs="Hiragino Sans GB"/>
          <w:b w:val="0"/>
        </w:rPr>
        <w:t>新补充信息按待核资料保留，问答不自动改写台账、下发指令或发布文书。更新前已生成的历史草稿保留原内容；要看最新数据请重新点击页面 AI 按钮。</w:t>
      </w:r>
    </w:p>
    <w:p>
      <w:pPr>
        <w:pStyle w:val="Heading1"/>
        <w:spacing w:line="240" w:lineRule="auto" w:after="60"/>
      </w:pPr>
      <w:r>
        <w:rPr>
          <w:rFonts w:ascii="Hiragino Sans GB" w:hAnsi="Hiragino Sans GB" w:eastAsia="Hiragino Sans GB" w:cs="Hiragino Sans GB"/>
        </w:rPr>
        <w:t>通用问答</w:t>
      </w:r>
    </w:p>
    <w:p>
      <w:pPr>
        <w:keepNext/>
        <w:widowControl/>
        <w:spacing w:line="240" w:lineRule="auto" w:after="60"/>
      </w:pPr>
      <w:r>
        <w:rPr>
          <w:rFonts w:ascii="Hiragino Sans GB" w:hAnsi="Hiragino Sans GB" w:eastAsia="Hiragino Sans GB" w:cs="Hiragino Sans GB"/>
          <w:b/>
        </w:rPr>
        <w:t>发送：</w:t>
      </w:r>
      <w:r>
        <w:rPr>
          <w:rFonts w:ascii="Hiragino Sans GB" w:hAnsi="Hiragino Sans GB" w:eastAsia="Hiragino Sans GB" w:cs="Hiragino Sans GB"/>
          <w:b w:val="0"/>
        </w:rPr>
        <w:t xml:space="preserve"> 你能帮我做什么？</w:t>
      </w:r>
    </w:p>
    <w:p>
      <w:pPr>
        <w:widowControl/>
        <w:spacing w:line="240" w:lineRule="auto" w:after="60"/>
      </w:pPr>
      <w:r>
        <w:rPr>
          <w:rFonts w:ascii="Hiragino Sans GB" w:hAnsi="Hiragino Sans GB" w:eastAsia="Hiragino Sans GB" w:cs="Hiragino Sans GB"/>
          <w:b/>
        </w:rPr>
        <w:t>回复：</w:t>
      </w:r>
      <w:r>
        <w:rPr>
          <w:rFonts w:ascii="Hiragino Sans GB" w:hAnsi="Hiragino Sans GB" w:eastAsia="Hiragino Sans GB" w:cs="Hiragino Sans GB"/>
          <w:b w:val="0"/>
        </w:rPr>
        <w:t xml:space="preserve"> 介绍当前节点、资料来源和可问内容。</w:t>
      </w:r>
    </w:p>
    <w:p>
      <w:pPr>
        <w:keepNext/>
        <w:widowControl/>
        <w:spacing w:line="240" w:lineRule="auto" w:after="60"/>
      </w:pPr>
      <w:r>
        <w:rPr>
          <w:rFonts w:ascii="Hiragino Sans GB" w:hAnsi="Hiragino Sans GB" w:eastAsia="Hiragino Sans GB" w:cs="Hiragino Sans GB"/>
          <w:b/>
        </w:rPr>
        <w:t>发送：</w:t>
      </w:r>
      <w:r>
        <w:rPr>
          <w:rFonts w:ascii="Hiragino Sans GB" w:hAnsi="Hiragino Sans GB" w:eastAsia="Hiragino Sans GB" w:cs="Hiragino Sans GB"/>
          <w:b w:val="0"/>
        </w:rPr>
        <w:t xml:space="preserve"> 这份资料的数据来源是什么？</w:t>
      </w:r>
    </w:p>
    <w:p>
      <w:pPr>
        <w:widowControl/>
        <w:spacing w:line="240" w:lineRule="auto" w:after="60"/>
      </w:pPr>
      <w:r>
        <w:rPr>
          <w:rFonts w:ascii="Hiragino Sans GB" w:hAnsi="Hiragino Sans GB" w:eastAsia="Hiragino Sans GB" w:cs="Hiragino Sans GB"/>
          <w:b/>
        </w:rPr>
        <w:t>回复：</w:t>
      </w:r>
      <w:r>
        <w:rPr>
          <w:rFonts w:ascii="Hiragino Sans GB" w:hAnsi="Hiragino Sans GB" w:eastAsia="Hiragino Sans GB" w:cs="Hiragino Sans GB"/>
          <w:b w:val="0"/>
        </w:rPr>
        <w:t xml:space="preserve"> 当前事件名称、对应页面和模拟统计口径。</w:t>
      </w:r>
    </w:p>
    <w:p>
      <w:pPr>
        <w:keepNext/>
        <w:widowControl/>
        <w:spacing w:line="240" w:lineRule="auto" w:after="60"/>
      </w:pPr>
      <w:r>
        <w:rPr>
          <w:rFonts w:ascii="Hiragino Sans GB" w:hAnsi="Hiragino Sans GB" w:eastAsia="Hiragino Sans GB" w:cs="Hiragino Sans GB"/>
          <w:b/>
        </w:rPr>
        <w:t>发送：</w:t>
      </w:r>
      <w:r>
        <w:rPr>
          <w:rFonts w:ascii="Hiragino Sans GB" w:hAnsi="Hiragino Sans GB" w:eastAsia="Hiragino Sans GB" w:cs="Hiragino Sans GB"/>
          <w:b w:val="0"/>
        </w:rPr>
        <w:t xml:space="preserve"> 如何修改或重新生成？</w:t>
      </w:r>
    </w:p>
    <w:p>
      <w:pPr>
        <w:widowControl/>
        <w:spacing w:line="240" w:lineRule="auto" w:after="60"/>
      </w:pPr>
      <w:r>
        <w:rPr>
          <w:rFonts w:ascii="Hiragino Sans GB" w:hAnsi="Hiragino Sans GB" w:eastAsia="Hiragino Sans GB" w:cs="Hiragino Sans GB"/>
          <w:b/>
        </w:rPr>
        <w:t>回复：</w:t>
      </w:r>
      <w:r>
        <w:rPr>
          <w:rFonts w:ascii="Hiragino Sans GB" w:hAnsi="Hiragino Sans GB" w:eastAsia="Hiragino Sans GB" w:cs="Hiragino Sans GB"/>
          <w:b w:val="0"/>
        </w:rPr>
        <w:t xml:space="preserve"> 报告类可查看文书、编辑并保存，重新点击页面 AI 按钮创建新草稿；物资核验在聊天中反馈，需在业务页核实台账后再次核验。</w:t>
      </w:r>
    </w:p>
    <w:p>
      <w:pPr>
        <w:pStyle w:val="Heading1"/>
        <w:pageBreakBefore/>
      </w:pPr>
      <w:r>
        <w:rPr>
          <w:rFonts w:ascii="Hiragino Sans GB" w:hAnsi="Hiragino Sans GB" w:eastAsia="Hiragino Sans GB" w:cs="Hiragino Sans GB"/>
        </w:rPr>
        <w:t>周边资源分析</w:t>
      </w:r>
    </w:p>
    <w:p>
      <w:pPr>
        <w:keepNext/>
      </w:pPr>
      <w:r>
        <w:rPr>
          <w:rFonts w:ascii="Hiragino Sans GB" w:hAnsi="Hiragino Sans GB" w:eastAsia="Hiragino Sans GB" w:cs="Hiragino Sans GB"/>
        </w:rPr>
        <w:t>页面路径 /v2/surroundings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对应智能体：救援资源管理智能体。资料：周边资源页摘要及三支队伍明细。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第 1 轮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300公里内有哪些队伍可以优先核对？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当前明细中，永新项目部距离136.39公里，可优先核对实际可出动人数、装备和操作手；梅江灌区项目部279.15公里，但人装均列0，不能视为可调用力量。南昌队常备中队432.98公里，应作为超范围增援候选单列。以上距离是页面演示值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为什么摘要和队伍明细数量对不上？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第 2 轮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为什么摘要和队伍明细数量对不上？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页面摘要写有5支队伍、171人、128台套装备，当前只展示3支队伍明细，且南昌队超出300公里。因此不能用摘要代替明细核实合计，需要补齐未展示队伍并核对筛选口径和更新时间。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正式调派前还缺哪些资料？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第 3 轮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正式调派前还缺哪些资料？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需补齐可用人数、装备状态、操作手、有效联系人、更新时间和到位时限；还需核对主备路线、交通管制、桥涵承载、降雨、风力及能见度。当前清单是资源候选依据，正式调派仍由原业务流程办理。 同事件物资台账已提供下一阶段缺口：饮用水25箱、雨衣10件、急救包8套，可交保障岗核对补给。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300公里内有哪些队伍可以优先核对？</w:t>
      </w:r>
    </w:p>
    <w:p>
      <w:pPr>
        <w:pStyle w:val="Heading1"/>
        <w:pageBreakBefore/>
      </w:pPr>
      <w:r>
        <w:rPr>
          <w:rFonts w:ascii="Hiragino Sans GB" w:hAnsi="Hiragino Sans GB" w:eastAsia="Hiragino Sans GB" w:cs="Hiragino Sans GB"/>
        </w:rPr>
        <w:t>人装抽组</w:t>
      </w:r>
    </w:p>
    <w:p>
      <w:pPr>
        <w:keepNext/>
      </w:pPr>
      <w:r>
        <w:rPr>
          <w:rFonts w:ascii="Hiragino Sans GB" w:hAnsi="Hiragino Sans GB" w:eastAsia="Hiragino Sans GB" w:cs="Hiragino Sans GB"/>
        </w:rPr>
        <w:t>页面路径 /v2/assembly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对应智能体：救援资源管理智能体。资料：人装抽组页两组记录、同事件报备与保障任务。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第 1 轮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当前抽组一共多少人、多少装备？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当前抽组页为南昌队常备中队50人、42台套，指导组30人、3台套，合计80人、45台套；组别分别沿用第一梯队和指导组出动。岗位、人员名单、驾驶员及操作手配套尚待补充。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两组都已返营，现在能直接出动吗？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第 2 轮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两组都已返营，现在能直接出动吗？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两条记录均标为“已返营”，只能反映页面记录，不能认定当前已出动或能立即出动。重新抽组前需负责人核对可用人装、专业资格、操作手、轮换与到位时限，再按正式流程办理。 报备页另有永新项目部18人备勤候选待复核，不计入当前80人编成，也不表示已获出动许可。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为什么投送页面的人数分配不一样？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第 3 轮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为什么投送页面的人数分配不一样？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抽组页为50人/30人，投送页为52人/28人；两页总数均为80人、45台套，但分配不一致。当前抽组方案保留本页50/30口径，需核对批准版本及更新时间后统一，不能自动覆盖任一页面。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当前抽组一共多少人、多少装备？</w:t>
      </w:r>
    </w:p>
    <w:p>
      <w:pPr>
        <w:pStyle w:val="Heading1"/>
        <w:pageBreakBefore/>
      </w:pPr>
      <w:r>
        <w:rPr>
          <w:rFonts w:ascii="Hiragino Sans GB" w:hAnsi="Hiragino Sans GB" w:eastAsia="Hiragino Sans GB" w:cs="Hiragino Sans GB"/>
        </w:rPr>
        <w:t>处置方案</w:t>
      </w:r>
    </w:p>
    <w:p>
      <w:pPr>
        <w:keepNext/>
      </w:pPr>
      <w:r>
        <w:rPr>
          <w:rFonts w:ascii="Hiragino Sans GB" w:hAnsi="Hiragino Sans GB" w:eastAsia="Hiragino Sans GB" w:cs="Hiragino Sans GB"/>
        </w:rPr>
        <w:t>页面路径 /v2/plan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对应智能体：救援方案生成智能体。资料：处置方案五节模板、事件概况、同事件6条任务和物资台账。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第 1 轮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这个处置方案的行动顺序是什么？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原模板按勘察、划定危险区域、搜救处置、工程抢险、现场清理组织行动。新增任务页显示模拟人员搜救已闭合，便道通行核查、坡体监测与夜间物资补给仍在衔接；后续方案按当前阶段安排，不能重复把已完成搜救列成未完成任务。具体工法与任务批准仍需专业岗位确认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方案落地前还需要补哪些条件？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第 2 轮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方案落地前还需要补哪些条件？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新增任务已列责任岗位和目标时限：道路核查18:30、物资补给19:00、监测交接20:00（9月7日模拟安排）。保障缺口为饮用水25箱、雨衣10件、急救包8套，另需复核饮用水差异-5箱。仍须补专业勘察、可用人装、工法、真实负责人、通行许可及医疗通信轮换条件，目标时限不能视为批准或完成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降雨变化时如何衔接安全撤离？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第 3 轮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降雨变化时如何衔接安全撤离？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应补齐降雨实况与预报、坡体位移和裂缝监测、警戒范围、撤离路线、通信及人员清点安排。天气、地质或道路变化时按既有指挥流程复核方案；停工撤离阈值和作业许可由专业会商及授权岗位确认，当前资料不足以给出数值。 新增任务由安全监测岗于9月7日20:00前核对监测与警戒交接（模拟目标）；完成证据仍需补录。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这个处置方案的行动顺序是什么？</w:t>
      </w:r>
    </w:p>
    <w:p>
      <w:pPr>
        <w:pStyle w:val="Heading1"/>
        <w:pageBreakBefore/>
      </w:pPr>
      <w:r>
        <w:rPr>
          <w:rFonts w:ascii="Hiragino Sans GB" w:hAnsi="Hiragino Sans GB" w:eastAsia="Hiragino Sans GB" w:cs="Hiragino Sans GB"/>
        </w:rPr>
        <w:t>灾情态势</w:t>
      </w:r>
    </w:p>
    <w:p>
      <w:pPr>
        <w:keepNext/>
      </w:pPr>
      <w:r>
        <w:rPr>
          <w:rFonts w:ascii="Hiragino Sans GB" w:hAnsi="Hiragino Sans GB" w:eastAsia="Hiragino Sans GB" w:cs="Hiragino Sans GB"/>
        </w:rPr>
        <w:t>页面路径 /v2/dynamics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对应智能体：态势感知智能体。资料：灾情动态r1—r5及同事件任务分配、物资台账。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第 1 轮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最新反馈反映的救援进展是什么？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这里的“最新”指模拟反馈r5（2026-09-07 17:01）：核实被困总人数12人，累计救出12人，尚待搜救0人。人员搜救结果闭合，但坡体尚未稳定、道路限行条件待确认，不能据此认定全部处置任务结束。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为什么初报10人与后来的12人不能相加？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第 2 轮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为什么初报10人与后来的12人不能相加？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初报约10人属于估计，后续核实修正为12人；累计救出8人、10人、12人是不同时间的累计值，不是每次新增量。因此既不能把10人与12人相加，也不能把累计救出数相加。来源时间和报告编号已保留在正文中。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目前道路和坡体还有哪些风险？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第 3 轮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目前道路和坡体还有哪些风险？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反馈显示进场道路曾阻断，后临时便道恢复，但限行条件仍待确认；坡体尚未稳定，需持续监测。南昌队在场力量50人/40台套、40人/30台套、20人/18台套是时点快照，不能累计或直接认定差额已返营。最新降雨、坡体监测及人装去向需补核。 后续任务已列道路核查、监测交接和夜间补给；物资登记缺口为饮用水25箱、雨衣10件、急救包8套，需与保障岗核对执行状态。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最新反馈反映的救援进展是什么？</w:t>
      </w:r>
    </w:p>
    <w:p>
      <w:pPr>
        <w:pStyle w:val="Heading1"/>
        <w:pageBreakBefore/>
      </w:pPr>
      <w:r>
        <w:rPr>
          <w:rFonts w:ascii="Hiragino Sans GB" w:hAnsi="Hiragino Sans GB" w:eastAsia="Hiragino Sans GB" w:cs="Hiragino Sans GB"/>
        </w:rPr>
        <w:t>力量投送</w:t>
      </w:r>
    </w:p>
    <w:p>
      <w:pPr>
        <w:keepNext/>
      </w:pPr>
      <w:r>
        <w:rPr>
          <w:rFonts w:ascii="Hiragino Sans GB" w:hAnsi="Hiragino Sans GB" w:eastAsia="Hiragino Sans GB" w:cs="Hiragino Sans GB"/>
        </w:rPr>
        <w:t>页面路径 /v2/transport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对应智能体：救援资源管理智能体。资料：投送页52/28人分配记录及同事件9月7日18:00物资台账。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第 1 轮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投送分几个梯队，人装如何分配？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本投送页列两组：第一梯队南昌队常备中队52人、42台套；指导组28人、3台套，共80人、45台套。本方案按投送页52/28口径整理，与抽组页50/30的差异需核对批准版本。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能否确定什么时候到达现场？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第 2 轮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能否确定什么时候到达现场？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页面演示距离分别为432.98公里、423.16公里，预计行驶5小时52分钟、5小时14分钟。出发时间、集结装载、管制与中途保障时间均未提供，因此不能确定到场时刻；需核准出发与实时通行条件后更新。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可以给出最优路线和备用路线吗？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第 3 轮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可以给出最优路线和备用路线吗？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当前没有具体道路、实时路况、交通管制、灾害阻断、桥涵承载、降雨或能见度资料，不能据距离虚构最优路线。建议补齐主备路线及大件运输条件、有效联系人、集结点、通信补给，并按出发、关键节点、到达反馈状态。 另据9月7日18:00台账，下一阶段补给候选为饮用水25箱、雨衣10件、急救包8套；这不是初次出动装载量，需另核装载与交接。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投送分几个梯队，人装如何分配？</w:t>
      </w:r>
    </w:p>
    <w:p>
      <w:pPr>
        <w:pStyle w:val="Heading1"/>
        <w:pageBreakBefore/>
      </w:pPr>
      <w:r>
        <w:rPr>
          <w:rFonts w:ascii="Hiragino Sans GB" w:hAnsi="Hiragino Sans GB" w:eastAsia="Hiragino Sans GB" w:cs="Hiragino Sans GB"/>
        </w:rPr>
        <w:t>救援复盘</w:t>
      </w:r>
    </w:p>
    <w:p>
      <w:pPr>
        <w:keepNext/>
      </w:pPr>
      <w:r>
        <w:rPr>
          <w:rFonts w:ascii="Hiragino Sans GB" w:hAnsi="Hiragino Sans GB" w:eastAsia="Hiragino Sans GB" w:cs="Hiragino Sans GB"/>
        </w:rPr>
        <w:t>页面路径 /v2/summary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对应智能体：救援效果评估智能体。资料：3条未盖章总结记录、3条快报、6条任务、动态r1—r5及9月7日18:00物资台账。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第 1 轮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这次复盘可以先总结哪些成效？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依据模拟反馈r5，可记录人员搜救结果闭合：核实被困12人、累计救出12人、尚待搜救0人；临时便道恢复但限行待核，坡体监测仍需继续。缺少最终伤亡、质量验收及任务结束批准，暂不能认定整体任务全部完成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能否计算投入、消耗和计划执行偏差？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第 2 轮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能否计算投入、消耗和计划执行偏差？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已有分项物资记录：饮用水消耗140箱、自热食品85箱、雨衣0件、头灯2盏、急救包12套；饮用水账实差异-5箱，下一阶段缺饮用水25箱、雨衣10件、急救包8套，可据此整理物资复盘。人装50/40、40/30、20/18仍是时点快照；缺少人装出入场、任务时长、费用和批准计划基线，无法计算累计人装投入、成本或计划执行偏差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下一步改进措施如何整理？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第 3 轮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下一步改进措施如何整理？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可沿用任务页模拟责任岗位与目标时限：道路保障岗9月7日18:30前核查便道限制，物资保障岗19:00前协调饮用水25箱、雨衣10件、急救包8套并复核饮用水差异，安全监测岗20:00前完成监测警戒交接核对。记录措施、责任岗位、期限和验收证据；目标时限不表示已完成，真实负责人及执行结果待复核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这次复盘可以先总结哪些成效？</w:t>
      </w:r>
    </w:p>
    <w:p>
      <w:pPr>
        <w:pStyle w:val="Heading1"/>
        <w:pageBreakBefore/>
      </w:pPr>
      <w:r>
        <w:rPr>
          <w:rFonts w:ascii="Hiragino Sans GB" w:hAnsi="Hiragino Sans GB" w:eastAsia="Hiragino Sans GB" w:cs="Hiragino Sans GB"/>
        </w:rPr>
        <w:t>物资核验</w:t>
      </w:r>
    </w:p>
    <w:p>
      <w:pPr>
        <w:keepNext/>
      </w:pPr>
      <w:r>
        <w:rPr>
          <w:rFonts w:ascii="Hiragino Sans GB" w:hAnsi="Hiragino Sans GB" w:eastAsia="Hiragino Sans GB" w:cs="Hiragino Sans GB"/>
        </w:rPr>
        <w:t>页面路径 /v2/supplies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对应智能体：救援资源管理智能体。资料：物资管理页5类物资四个页签及2026-09-07 18:00模拟台账。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</w:rPr>
        <w:t>按钮：AI物资核验。直接反馈5类物资的供需缺口、账实差异和复核建议，不生成报告。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第 1 轮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当前物资能满足现场需求吗？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按2026-09-07 18:00模拟台账，下一阶段缺饮用水25箱、雨衣10件、急救包8套；自热食品库存50箱、需求40箱，照明头灯库存30盏、需求20盏，可满足本轮登记需求。饮用水还存在账实差异，先复核再协调补给。不同物资、规格和单位分别核对，不混加数量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饮用水账实差异需要怎么核查？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第 2 轮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饮用水账实差异需要怎么核查？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饮用水期初120箱、入库80箱、出库150箱，账面结余50箱；可用库存盘点45箱，账实差异为-5箱。请核对同一时点的出入库单、领用签收、在途与损耗记录及实物盘点，暂不能认定为丢失。下一阶段需求70箱，按盘点可用量计算缺口25箱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如何核对物资数量是否一致？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第 3 轮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如何核对物资数量是否一致？</w:t>
      </w:r>
    </w:p>
    <w:p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同一周期、同一队伍、规格和单位下，账面结余＝期初＋入库－出库，账实差异＝可用库存－账面结余。当前饮用水差异-5箱，其他四类账实一致。已出库物资的消耗另行登记：饮用水140箱、自热食品85箱、雨衣0件、头灯2盏、急救包12套；不再从库存重复扣减。缺口＝max(需求－可用库存,0)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当前物资能满足现场需求吗？</w:t>
      </w:r>
    </w:p>
    <w:p>
      <w:pPr>
        <w:pStyle w:val="Heading1"/>
      </w:pPr>
      <w:r>
        <w:rPr>
          <w:rFonts w:ascii="Hiragino Sans GB" w:hAnsi="Hiragino Sans GB" w:eastAsia="Hiragino Sans GB" w:cs="Hiragino Sans GB"/>
        </w:rPr>
        <w:t>未覆盖问题与补充资料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未覆盖问题会提示当前节点可问范围。发送“我补充：……”或附件时，仅保留为待核内容，不自动核实、解析附件或改写业务数据。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问答配置：</w:t>
      </w:r>
      <w:r>
        <w:rPr>
          <w:rFonts w:ascii="Hiragino Sans GB" w:hAnsi="Hiragino Sans GB" w:eastAsia="Hiragino Sans GB" w:cs="Hiragino Sans GB"/>
          <w:b w:val="0"/>
          <w:sz w:val="18"/>
        </w:rPr>
        <w:t>src/pages/v2/embeddedQa.json</w:t>
      </w:r>
      <w:r>
        <w:rPr>
          <w:rFonts w:ascii="Hiragino Sans GB" w:hAnsi="Hiragino Sans GB" w:eastAsia="Hiragino Sans GB" w:cs="Hiragino Sans GB"/>
          <w:b w:val="0"/>
        </w:rPr>
        <w:t>。页面与方案共用业务数据：</w:t>
      </w:r>
      <w:r>
        <w:rPr>
          <w:rFonts w:ascii="Hiragino Sans GB" w:hAnsi="Hiragino Sans GB" w:eastAsia="Hiragino Sans GB" w:cs="Hiragino Sans GB"/>
          <w:b w:val="0"/>
          <w:sz w:val="18"/>
        </w:rPr>
        <w:t>src/pages/v2/businessData.ts</w:t>
      </w:r>
      <w:r>
        <w:rPr>
          <w:rFonts w:ascii="Hiragino Sans GB" w:hAnsi="Hiragino Sans GB" w:eastAsia="Hiragino Sans GB" w:cs="Hiragino Sans GB"/>
          <w:b w:val="0"/>
        </w:rPr>
        <w:t xml:space="preserve">。修改后执行 </w:t>
      </w:r>
      <w:r>
        <w:rPr>
          <w:rFonts w:ascii="Hiragino Sans GB" w:hAnsi="Hiragino Sans GB" w:eastAsia="Hiragino Sans GB" w:cs="Hiragino Sans GB"/>
          <w:b w:val="0"/>
          <w:sz w:val="18"/>
        </w:rPr>
        <w:t>python3 scripts/generate_v2_qa_manual.py</w:t>
      </w:r>
      <w:r>
        <w:rPr>
          <w:rFonts w:ascii="Hiragino Sans GB" w:hAnsi="Hiragino Sans GB" w:eastAsia="Hiragino Sans GB" w:cs="Hiragino Sans GB"/>
          <w:b w:val="0"/>
        </w:rPr>
        <w:t xml:space="preserve"> 更新本手册。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9" w:lineRule="auto"/>
    </w:pPr>
    <w:rPr>
      <w:rFonts w:ascii="Hiragino Sans GB" w:hAnsi="Hiragino Sans GB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59" w:lineRule="auto"/>
      <w:outlineLvl w:val="0"/>
    </w:pPr>
    <w:rPr>
      <w:rFonts w:cstheme="majorBidi"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9" w:lineRule="auto"/>
      <w:outlineLvl w:val="1"/>
    </w:pPr>
    <w:rPr>
      <w:rFonts w:cstheme="majorBidi" w:ascii="Hiragino Sans GB" w:hAnsi="Hiragino Sans GB" w:eastAsia="Hiragino Sans GB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59" w:lineRule="auto" w:before="160"/>
      <w:contextualSpacing/>
    </w:pPr>
    <w:rPr>
      <w:rFonts w:cstheme="majorBidi" w:ascii="Hiragino Sans GB" w:hAnsi="Hiragino Sans GB" w:eastAsia="Hiragino Sans GB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  <w:rPr>
      <w:rFonts w:ascii="Hiragino Sans GB" w:hAnsi="Hiragino Sans GB" w:eastAsia="Hiragino Sans GB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  <w:rPr>
      <w:rFonts w:ascii="Hiragino Sans GB" w:hAnsi="Hiragino Sans GB" w:eastAsia="Hiragino Sans GB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V2 AI赋能问答演示手册</dc:title>
  <dc:subject>七个AI业务入口的演示步骤与问答话术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