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8059" w14:textId="77777777" w:rsidR="00C63ACB" w:rsidRPr="00C63ACB" w:rsidRDefault="00C63ACB" w:rsidP="00C63ACB">
      <w:pPr>
        <w:spacing w:after="0" w:line="240" w:lineRule="auto"/>
        <w:jc w:val="center"/>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b/>
          <w:bCs/>
          <w:color w:val="000000"/>
          <w:sz w:val="20"/>
          <w:szCs w:val="20"/>
          <w:shd w:val="clear" w:color="auto" w:fill="FAF9F8"/>
          <w:lang w:val="en-PH" w:eastAsia="zh-TW"/>
        </w:rPr>
        <w:t>Conclusion and Recommendations</w:t>
      </w:r>
    </w:p>
    <w:p w14:paraId="744B908C" w14:textId="77777777" w:rsidR="00C63ACB" w:rsidRPr="00C63ACB" w:rsidRDefault="00C63ACB" w:rsidP="00C63ACB">
      <w:pPr>
        <w:spacing w:after="0" w:line="240" w:lineRule="auto"/>
        <w:rPr>
          <w:rFonts w:ascii="Times New Roman" w:eastAsia="Times New Roman" w:hAnsi="Times New Roman" w:cs="Times New Roman"/>
          <w:sz w:val="24"/>
          <w:szCs w:val="24"/>
          <w:lang w:val="en-PH" w:eastAsia="zh-TW"/>
        </w:rPr>
      </w:pPr>
    </w:p>
    <w:p w14:paraId="11F5503C" w14:textId="77777777" w:rsidR="00C63ACB" w:rsidRPr="00C63ACB" w:rsidRDefault="00C63ACB" w:rsidP="00C63ACB">
      <w:pPr>
        <w:spacing w:before="240" w:after="240" w:line="240" w:lineRule="auto"/>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b/>
          <w:bCs/>
          <w:color w:val="000000"/>
          <w:sz w:val="20"/>
          <w:szCs w:val="20"/>
          <w:shd w:val="clear" w:color="auto" w:fill="FAF9F8"/>
          <w:lang w:val="en-PH" w:eastAsia="zh-TW"/>
        </w:rPr>
        <w:t>Conclusion</w:t>
      </w:r>
    </w:p>
    <w:p w14:paraId="0B13CD90"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The study conducted entitled LF Scholars: Effectiveness and Security Factors of Blockchain Technology for Cryptocurrency and Non-Fungible Tokens (NFTs) has shed light on the immense potential of blockchain architecture in benefiting the world of cryptocurrencies and NFTs. The architectural factors of blockchain bring several advantages, particularly in terms of effectiveness and security.</w:t>
      </w:r>
    </w:p>
    <w:p w14:paraId="11C1D6E5"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Firstly, the decentralized nature of blockchain ensures transparency, immutability, and tamper-proof records, making it highly effective for cryptocurrency transactions. The use of public ledgers, cryptographic algorithms, and consensus algorithms ensure the security and integrity of data, protecting it from unauthorized access and manipulation. This enhances trust among participants and fosters efficient and secure financial transactions.</w:t>
      </w:r>
    </w:p>
    <w:p w14:paraId="545DD0E7"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Moreover, blockchain technology benefits different areas within the cryptocurrency space. For instance, it provides individuals in countries like the Philippines with access to the global financial system, empowering them to participate in investments and economic activities previously inaccessible. The increased interest in blockchain investments, such as cryptocurrencies and NFTs, presents significant opportunities for wealth creation and economic growth.</w:t>
      </w:r>
    </w:p>
    <w:p w14:paraId="2E241339"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Additionally, the study highlights the positive effects of blockchain technology on NFT art and digital ownership. It enables artists to authenticate and monetize their creations, while collectors can securely own and trade digital assets. Blockchain's decentralized nature eliminates intermediaries and provides a transparent and verifiable system for provenance and ownership, revolutionizing the art industry</w:t>
      </w:r>
    </w:p>
    <w:p w14:paraId="39023B5D"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However, it is essential to consider the negative effects associated with blockchain technology. Market volatility poses risks for investors, as the value of cryptocurrencies can fluctuate dramatically causing participants to lose their money or gain exponentially. These successful gains lead to Saturation in the market which poses challenges in standing out assets potentially impacting their value. On the other hand, the risk of hacking, scams, and theft remains a concern, requiring robust security measures to protect digital assets.</w:t>
      </w:r>
    </w:p>
    <w:p w14:paraId="25AC2778" w14:textId="77777777" w:rsidR="00C63ACB" w:rsidRPr="00C63ACB"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C63ACB">
        <w:rPr>
          <w:rFonts w:ascii="Century Gothic" w:eastAsia="Times New Roman" w:hAnsi="Century Gothic" w:cs="Times New Roman"/>
          <w:color w:val="000000"/>
          <w:sz w:val="20"/>
          <w:szCs w:val="20"/>
          <w:shd w:val="clear" w:color="auto" w:fill="FAF9F8"/>
          <w:lang w:val="en-PH" w:eastAsia="zh-TW"/>
        </w:rPr>
        <w:t>As all these blockchain activities happen, perhaps the most alarming environmental impact of blockchain mining also worsens. The energy consumption associated with blockchain operations, particularly for proof-of-work consensus algorithms, raises sustainability issues. The significant energy requirements contribute to carbon emissions and environmental degradation, requiring attention and mitigation strategies.</w:t>
      </w:r>
    </w:p>
    <w:p w14:paraId="1FAB0D29" w14:textId="77777777" w:rsidR="000604A9" w:rsidRPr="00C63ACB" w:rsidRDefault="000604A9">
      <w:pPr>
        <w:rPr>
          <w:lang w:val="en-PH"/>
        </w:rPr>
      </w:pPr>
    </w:p>
    <w:sectPr w:rsidR="000604A9" w:rsidRPr="00C63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0D4A" w14:textId="77777777" w:rsidR="009178B5" w:rsidRDefault="009178B5" w:rsidP="00C63ACB">
      <w:pPr>
        <w:spacing w:after="0" w:line="240" w:lineRule="auto"/>
      </w:pPr>
      <w:r>
        <w:separator/>
      </w:r>
    </w:p>
  </w:endnote>
  <w:endnote w:type="continuationSeparator" w:id="0">
    <w:p w14:paraId="12D5D808" w14:textId="77777777" w:rsidR="009178B5" w:rsidRDefault="009178B5" w:rsidP="00C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1B50" w14:textId="77777777" w:rsidR="009178B5" w:rsidRDefault="009178B5" w:rsidP="00C63ACB">
      <w:pPr>
        <w:spacing w:after="0" w:line="240" w:lineRule="auto"/>
      </w:pPr>
      <w:r>
        <w:separator/>
      </w:r>
    </w:p>
  </w:footnote>
  <w:footnote w:type="continuationSeparator" w:id="0">
    <w:p w14:paraId="45594098" w14:textId="77777777" w:rsidR="009178B5" w:rsidRDefault="009178B5" w:rsidP="00C63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A9"/>
    <w:rsid w:val="000604A9"/>
    <w:rsid w:val="009178B5"/>
    <w:rsid w:val="00C63A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ACB"/>
  </w:style>
  <w:style w:type="paragraph" w:styleId="Footer">
    <w:name w:val="footer"/>
    <w:basedOn w:val="Normal"/>
    <w:link w:val="FooterChar"/>
    <w:uiPriority w:val="99"/>
    <w:unhideWhenUsed/>
    <w:rsid w:val="00C6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ACB"/>
  </w:style>
  <w:style w:type="paragraph" w:styleId="NormalWeb">
    <w:name w:val="Normal (Web)"/>
    <w:basedOn w:val="Normal"/>
    <w:uiPriority w:val="99"/>
    <w:semiHidden/>
    <w:unhideWhenUsed/>
    <w:rsid w:val="00C63ACB"/>
    <w:pPr>
      <w:spacing w:before="100" w:beforeAutospacing="1" w:after="100" w:afterAutospacing="1" w:line="240" w:lineRule="auto"/>
    </w:pPr>
    <w:rPr>
      <w:rFonts w:ascii="Times New Roman" w:eastAsia="Times New Roman" w:hAnsi="Times New Roman" w:cs="Times New Roman"/>
      <w:sz w:val="24"/>
      <w:szCs w:val="24"/>
      <w:lang w:val="en-PH"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John Paulo Alcantara</cp:lastModifiedBy>
  <cp:revision>2</cp:revision>
  <dcterms:created xsi:type="dcterms:W3CDTF">2023-06-26T14:26:00Z</dcterms:created>
  <dcterms:modified xsi:type="dcterms:W3CDTF">2023-06-26T15:06:00Z</dcterms:modified>
</cp:coreProperties>
</file>