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500"/>
              <w:left w:type="dxa" w:w="500"/>
              <w:bottom w:type="dxa" w:w="500"/>
              <w:right w:type="dxa" w:w="500"/>
            </w:tcMar>
          </w:tcPr>
          <w:p>
            <w:pPr>
              <w:spacing w:after="60" w:before="200"/>
              <w:jc w:val="center"/>
            </w:pPr>
            <w:r>
              <w:rPr>
                <w:rFonts w:ascii="Arial" w:cs="Arial" w:eastAsia="Arial" w:hAnsi="Arial"/>
                <w:b/>
                <w:bCs/>
                <w:color w:val="FFFFFF"/>
                <w:sz w:val="52"/>
                <w:szCs w:val="52"/>
              </w:rPr>
              <w:t xml:space="preserve">[Organization Name]</w:t>
            </w:r>
          </w:p>
          <w:p>
            <w:pPr>
              <w:spacing w:after="60" w:before="60"/>
              <w:jc w:val="center"/>
            </w:pPr>
            <w:r>
              <w:rPr>
                <w:rFonts w:ascii="Arial" w:cs="Arial" w:eastAsia="Arial" w:hAnsi="Arial"/>
                <w:color w:val="BDD7EE"/>
                <w:sz w:val="32"/>
                <w:szCs w:val="32"/>
              </w:rPr>
              <w:t xml:space="preserve">AI Management System (AIMS)</w:t>
            </w:r>
          </w:p>
          <w:p>
            <w:pPr>
              <w:spacing w:after="60" w:before="60"/>
              <w:jc w:val="center"/>
            </w:pPr>
            <w:r>
              <w:rPr>
                <w:rFonts w:ascii="Arial" w:cs="Arial" w:eastAsia="Arial" w:hAnsi="Arial"/>
                <w:b/>
                <w:bCs/>
                <w:color w:val="FFFFFF"/>
                <w:sz w:val="40"/>
                <w:szCs w:val="40"/>
              </w:rPr>
              <w:t xml:space="preserve">RESPONSIBLE AI POLICY</w:t>
            </w:r>
          </w:p>
          <w:p>
            <w:pPr>
              <w:spacing w:after="200" w:before="60"/>
              <w:jc w:val="center"/>
            </w:pPr>
            <w:r>
              <w:rPr>
                <w:rFonts w:ascii="Arial" w:cs="Arial" w:eastAsia="Arial" w:hAnsi="Arial"/>
                <w:color w:val="BDD7EE"/>
                <w:sz w:val="22"/>
                <w:szCs w:val="22"/>
              </w:rPr>
              <w:t xml:space="preserve">AIMS-POL-001  |  Version 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17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Responsible AI Policy</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 Ref</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AIMS-POL-001</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Organization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[Organization Name]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Author Name &amp; Role]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Date]</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Approver Name &amp; Role]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Review 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Date]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 Purpose</w:t>
      </w:r>
    </w:p>
    <w:p>
      <w:pPr>
        <w:spacing w:after="80" w:before="80"/>
      </w:pPr>
      <w:r>
        <w:rPr>
          <w:rFonts w:ascii="Arial" w:cs="Arial" w:eastAsia="Arial" w:hAnsi="Arial"/>
          <w:color w:val="595959"/>
          <w:sz w:val="22"/>
          <w:szCs w:val="22"/>
        </w:rPr>
        <w:t xml:space="preserve">This Responsible AI Policy establishes the principles, commitments, and governance framework of </w:t>
      </w:r>
      <w:r>
        <w:rPr>
          <w:rFonts w:ascii="Arial" w:cs="Arial" w:eastAsia="Arial" w:hAnsi="Arial"/>
          <w:b/>
          <w:bCs/>
          <w:color w:val="C00000"/>
          <w:sz w:val="22"/>
          <w:szCs w:val="22"/>
        </w:rPr>
        <w:t xml:space="preserve">[Organization Name]</w:t>
      </w:r>
      <w:r>
        <w:rPr>
          <w:rFonts w:ascii="Arial" w:cs="Arial" w:eastAsia="Arial" w:hAnsi="Arial"/>
          <w:color w:val="595959"/>
          <w:sz w:val="22"/>
          <w:szCs w:val="22"/>
        </w:rPr>
        <w:t xml:space="preserve"> for the responsible development, deployment, and operation of Artificial Intelligence (AI) systems. It reflects our commitment to ethical, safe, and trustworthy AI in accordance with </w:t>
      </w:r>
      <w:r>
        <w:rPr>
          <w:rFonts w:ascii="Arial" w:cs="Arial" w:eastAsia="Arial" w:hAnsi="Arial"/>
          <w:b/>
          <w:bCs/>
          <w:color w:val="1F3864"/>
          <w:sz w:val="22"/>
          <w:szCs w:val="22"/>
        </w:rPr>
        <w:t xml:space="preserve">ISO/IEC 42001:2023</w:t>
      </w:r>
      <w:r>
        <w:rPr>
          <w:rFonts w:ascii="Arial" w:cs="Arial" w:eastAsia="Arial" w:hAnsi="Arial"/>
          <w:color w:val="595959"/>
          <w:sz w:val="22"/>
          <w:szCs w:val="22"/>
        </w:rPr>
        <w:t xml:space="preserve"> and applicable laws and regulations.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2. Scope</w:t>
      </w:r>
    </w:p>
    <w:p>
      <w:pPr>
        <w:spacing w:after="80" w:before="80"/>
      </w:pPr>
      <w:r>
        <w:rPr>
          <w:rFonts w:ascii="Arial" w:cs="Arial" w:eastAsia="Arial" w:hAnsi="Arial"/>
          <w:color w:val="595959"/>
          <w:sz w:val="22"/>
          <w:szCs w:val="22"/>
        </w:rPr>
        <w:t xml:space="preserve">This Policy applies to </w:t>
      </w:r>
      <w:r>
        <w:rPr>
          <w:rFonts w:ascii="Arial" w:cs="Arial" w:eastAsia="Arial" w:hAnsi="Arial"/>
          <w:b/>
          <w:bCs/>
          <w:color w:val="1F3864"/>
          <w:sz w:val="22"/>
          <w:szCs w:val="22"/>
        </w:rPr>
        <w:t xml:space="preserve">all employees, contractors, and third parties</w:t>
      </w:r>
      <w:r>
        <w:rPr>
          <w:rFonts w:ascii="Arial" w:cs="Arial" w:eastAsia="Arial" w:hAnsi="Arial"/>
          <w:color w:val="595959"/>
          <w:sz w:val="22"/>
          <w:szCs w:val="22"/>
        </w:rPr>
        <w:t xml:space="preserve"> of </w:t>
      </w:r>
      <w:r>
        <w:rPr>
          <w:rFonts w:ascii="Arial" w:cs="Arial" w:eastAsia="Arial" w:hAnsi="Arial"/>
          <w:b/>
          <w:bCs/>
          <w:color w:val="C00000"/>
          <w:sz w:val="22"/>
          <w:szCs w:val="22"/>
        </w:rPr>
        <w:t xml:space="preserve">[Organization Name]</w:t>
      </w:r>
      <w:r>
        <w:rPr>
          <w:rFonts w:ascii="Arial" w:cs="Arial" w:eastAsia="Arial" w:hAnsi="Arial"/>
          <w:color w:val="595959"/>
          <w:sz w:val="22"/>
          <w:szCs w:val="22"/>
        </w:rPr>
        <w:t xml:space="preserve"> who design, develop, procure, deploy, operate, or oversee AI systems. It covers all AI systems within the scope of the AIMS as defined in the AIMS Scope Statement (AIMS-SCOPE-001).</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3. Management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none" w:color="FFFFFF" w:sz="0"/>
              <w:right w:val="none" w:color="FFFFFF" w:sz="0"/>
            </w:tcBorders>
            <w:shd w:fill="EBF3FB" w:val="clear"/>
            <w:tcMar>
              <w:top w:type="dxa" w:w="120"/>
              <w:left w:type="dxa" w:w="200"/>
              <w:bottom w:type="dxa" w:w="120"/>
              <w:right w:type="dxa" w:w="200"/>
            </w:tcMar>
          </w:tcPr>
          <w:p>
            <w:pPr>
              <w:spacing w:after="40" w:before="60"/>
            </w:pPr>
            <w:r>
              <w:rPr>
                <w:rFonts w:ascii="Arial" w:cs="Arial" w:eastAsia="Arial" w:hAnsi="Arial"/>
                <w:b/>
                <w:bCs/>
                <w:color w:val="2E75B6"/>
                <w:sz w:val="20"/>
                <w:szCs w:val="20"/>
              </w:rPr>
              <w:t xml:space="preserve">Statement from Senior Leadership</w:t>
            </w:r>
          </w:p>
          <w:p>
            <w:pPr>
              <w:spacing w:after="40" w:before="40"/>
            </w:pPr>
            <w:r>
              <w:rPr>
                <w:rFonts w:ascii="Arial" w:cs="Arial" w:eastAsia="Arial" w:hAnsi="Arial"/>
                <w:color w:val="595959"/>
                <w:sz w:val="22"/>
                <w:szCs w:val="22"/>
              </w:rPr>
              <w:t xml:space="preserve">At </w:t>
            </w:r>
            <w:r>
              <w:rPr>
                <w:rFonts w:ascii="Arial" w:cs="Arial" w:eastAsia="Arial" w:hAnsi="Arial"/>
                <w:b/>
                <w:bCs/>
                <w:color w:val="C00000"/>
                <w:sz w:val="22"/>
                <w:szCs w:val="22"/>
              </w:rPr>
              <w:t xml:space="preserve">[Organization Name]</w:t>
            </w:r>
            <w:r>
              <w:rPr>
                <w:rFonts w:ascii="Arial" w:cs="Arial" w:eastAsia="Arial" w:hAnsi="Arial"/>
                <w:color w:val="595959"/>
                <w:sz w:val="22"/>
                <w:szCs w:val="22"/>
              </w:rPr>
              <w:t xml:space="preserve">, we recognise that AI presents both significant opportunities and responsibilities. We are committed to harnessing AI in a manner that is safe, fair, transparent, and accountable — creating value for our customers, employees, and society while managing risk responsibly.</w:t>
            </w:r>
          </w:p>
          <w:p>
            <w:pPr>
              <w:spacing w:after="60" w:before="40"/>
            </w:pPr>
            <w:r>
              <w:rPr>
                <w:rFonts w:ascii="Arial" w:cs="Arial" w:eastAsia="Arial" w:hAnsi="Arial"/>
                <w:color w:val="595959"/>
                <w:sz w:val="22"/>
                <w:szCs w:val="22"/>
              </w:rPr>
              <w:t xml:space="preserve">Senior management fully supports the establishment and continual improvement of our AI Management System and will provide the necessary leadership, resources, and oversight to ensure this Policy is implemented effectively.</w:t>
            </w:r>
          </w:p>
          <w:p>
            <w:pPr>
              <w:spacing w:after="40" w:before="40"/>
            </w:pPr>
            <w:r>
              <w:rPr>
                <w:rFonts w:ascii="Arial" w:cs="Arial" w:eastAsia="Arial" w:hAnsi="Arial"/>
                <w:b/>
                <w:bCs/>
                <w:color w:val="1F3864"/>
                <w:sz w:val="22"/>
                <w:szCs w:val="22"/>
              </w:rPr>
              <w:t xml:space="preserve">Signed: </w:t>
            </w:r>
            <w:r>
              <w:rPr>
                <w:rFonts w:ascii="Arial" w:cs="Arial" w:eastAsia="Arial" w:hAnsi="Arial"/>
                <w:b/>
                <w:bCs/>
                <w:color w:val="C00000"/>
                <w:sz w:val="22"/>
                <w:szCs w:val="22"/>
              </w:rPr>
              <w:t xml:space="preserve">[CEO / Managing Director Name]</w:t>
            </w:r>
            <w:r>
              <w:rPr>
                <w:rFonts w:ascii="Arial" w:cs="Arial" w:eastAsia="Arial" w:hAnsi="Arial"/>
                <w:b/>
                <w:bCs/>
                <w:color w:val="1F3864"/>
                <w:sz w:val="22"/>
                <w:szCs w:val="22"/>
              </w:rPr>
              <w:t xml:space="preserve">    |    Date: </w:t>
            </w:r>
            <w:r>
              <w:rPr>
                <w:rFonts w:ascii="Arial" w:cs="Arial" w:eastAsia="Arial" w:hAnsi="Arial"/>
                <w:b/>
                <w:bCs/>
                <w:color w:val="C00000"/>
                <w:sz w:val="22"/>
                <w:szCs w:val="22"/>
              </w:rPr>
              <w:t xml:space="preserve">[Document Date]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4. Our AI Principles</w:t>
      </w:r>
    </w:p>
    <w:p>
      <w:pPr>
        <w:spacing w:after="80" w:before="80"/>
      </w:pPr>
      <w:r>
        <w:rPr>
          <w:rFonts w:ascii="Arial" w:cs="Arial" w:eastAsia="Arial" w:hAnsi="Arial"/>
          <w:color w:val="595959"/>
          <w:sz w:val="22"/>
          <w:szCs w:val="22"/>
        </w:rPr>
        <w:t xml:space="preserve">The following principles guide all AI-related activities at [Organization Name] and are non-negotiable across the full AI lifecycle: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01</w:t>
            </w:r>
          </w:p>
        </w:tc>
        <w:tc>
          <w:tcPr>
            <w:tcW w:type="dxa" w:w="864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Human-Centred &amp; Beneficial</w:t>
            </w:r>
          </w:p>
          <w:p>
            <w:pPr>
              <w:spacing w:after="40" w:before="20"/>
            </w:pPr>
            <w:r>
              <w:rPr>
                <w:rFonts w:ascii="Arial" w:cs="Arial" w:eastAsia="Arial" w:hAnsi="Arial"/>
                <w:color w:val="595959"/>
                <w:sz w:val="20"/>
                <w:szCs w:val="20"/>
              </w:rPr>
              <w:t xml:space="preserve">AI systems must be designed and operated to benefit people. We place human wellbeing, dignity, and autonomy at the centre of all AI decisions. AI should augment — not replace — meaningful human judgement.</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02</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Fairness &amp; Non-Discrimination</w:t>
            </w:r>
          </w:p>
          <w:p>
            <w:pPr>
              <w:spacing w:after="40" w:before="20"/>
            </w:pPr>
            <w:r>
              <w:rPr>
                <w:rFonts w:ascii="Arial" w:cs="Arial" w:eastAsia="Arial" w:hAnsi="Arial"/>
                <w:color w:val="595959"/>
                <w:sz w:val="20"/>
                <w:szCs w:val="20"/>
              </w:rPr>
              <w:t xml:space="preserve">AI systems must not produce outputs that unfairly discriminate against individuals or groups based on protected characteristics. We commit to proactive bias detection, testing, and remediation.</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03</w:t>
            </w:r>
          </w:p>
        </w:tc>
        <w:tc>
          <w:tcPr>
            <w:tcW w:type="dxa" w:w="864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Transparency &amp; Explainability</w:t>
            </w:r>
          </w:p>
          <w:p>
            <w:pPr>
              <w:spacing w:after="40" w:before="20"/>
            </w:pPr>
            <w:r>
              <w:rPr>
                <w:rFonts w:ascii="Arial" w:cs="Arial" w:eastAsia="Arial" w:hAnsi="Arial"/>
                <w:color w:val="595959"/>
                <w:sz w:val="20"/>
                <w:szCs w:val="20"/>
              </w:rPr>
              <w:t xml:space="preserve">We will be open about how and when AI is used in our products and services. AI decisions with significant impact on individuals must be explainable and subject to human review.</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04</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Safety &amp; Robustness</w:t>
            </w:r>
          </w:p>
          <w:p>
            <w:pPr>
              <w:spacing w:after="40" w:before="20"/>
            </w:pPr>
            <w:r>
              <w:rPr>
                <w:rFonts w:ascii="Arial" w:cs="Arial" w:eastAsia="Arial" w:hAnsi="Arial"/>
                <w:color w:val="595959"/>
                <w:sz w:val="20"/>
                <w:szCs w:val="20"/>
              </w:rPr>
              <w:t xml:space="preserve">AI systems must be safe, reliable, and resilient. We will implement controls to prevent, detect, and mitigate failures, adversarial attacks, and unintended consequences.</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05</w:t>
            </w:r>
          </w:p>
        </w:tc>
        <w:tc>
          <w:tcPr>
            <w:tcW w:type="dxa" w:w="864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Accountability &amp; Governance</w:t>
            </w:r>
          </w:p>
          <w:p>
            <w:pPr>
              <w:spacing w:after="40" w:before="20"/>
            </w:pPr>
            <w:r>
              <w:rPr>
                <w:rFonts w:ascii="Arial" w:cs="Arial" w:eastAsia="Arial" w:hAnsi="Arial"/>
                <w:color w:val="595959"/>
                <w:sz w:val="20"/>
                <w:szCs w:val="20"/>
              </w:rPr>
              <w:t xml:space="preserve">Clear accountability must be established for all AI systems. Every AI system has a named business owner and technical owner who are responsible for its behaviour and compliance.</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06</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Privacy &amp; Data Protection</w:t>
            </w:r>
          </w:p>
          <w:p>
            <w:pPr>
              <w:spacing w:after="40" w:before="20"/>
            </w:pPr>
            <w:r>
              <w:rPr>
                <w:rFonts w:ascii="Arial" w:cs="Arial" w:eastAsia="Arial" w:hAnsi="Arial"/>
                <w:color w:val="595959"/>
                <w:sz w:val="20"/>
                <w:szCs w:val="20"/>
              </w:rPr>
              <w:t xml:space="preserve">AI systems must be designed with privacy by default. Personal data used in AI must comply with applicable data protection laws and our data governance standards.</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07</w:t>
            </w:r>
          </w:p>
        </w:tc>
        <w:tc>
          <w:tcPr>
            <w:tcW w:type="dxa" w:w="864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Environmental Responsibility</w:t>
            </w:r>
          </w:p>
          <w:p>
            <w:pPr>
              <w:spacing w:after="40" w:before="20"/>
            </w:pPr>
            <w:r>
              <w:rPr>
                <w:rFonts w:ascii="Arial" w:cs="Arial" w:eastAsia="Arial" w:hAnsi="Arial"/>
                <w:color w:val="595959"/>
                <w:sz w:val="20"/>
                <w:szCs w:val="20"/>
              </w:rPr>
              <w:t xml:space="preserve">We will consider the environmental impact of AI systems, including energy consumption of model training and inference, and seek to minimise unnecessary resource use.</w:t>
            </w:r>
          </w:p>
        </w:tc>
      </w:tr>
      <w:tr>
        <w:tc>
          <w:tcPr>
            <w:tcW w:type="dxa" w:w="7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08</w:t>
            </w:r>
          </w:p>
        </w:tc>
        <w:tc>
          <w:tcPr>
            <w:tcW w:type="dxa" w:w="86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20" w:before="40"/>
            </w:pPr>
            <w:r>
              <w:rPr>
                <w:rFonts w:ascii="Arial" w:cs="Arial" w:eastAsia="Arial" w:hAnsi="Arial"/>
                <w:b/>
                <w:bCs/>
                <w:color w:val="1F3864"/>
                <w:sz w:val="22"/>
                <w:szCs w:val="22"/>
              </w:rPr>
              <w:t xml:space="preserve">Continuous Improvement</w:t>
            </w:r>
          </w:p>
          <w:p>
            <w:pPr>
              <w:spacing w:after="40" w:before="20"/>
            </w:pPr>
            <w:r>
              <w:rPr>
                <w:rFonts w:ascii="Arial" w:cs="Arial" w:eastAsia="Arial" w:hAnsi="Arial"/>
                <w:color w:val="595959"/>
                <w:sz w:val="20"/>
                <w:szCs w:val="20"/>
              </w:rPr>
              <w:t xml:space="preserve">We commit to learning from our AI experiences, monitoring performance, addressing incidents, and continually improving our AI governance practices.</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5. AI Governance Framework</w:t>
      </w:r>
    </w:p>
    <w:p>
      <w:pPr>
        <w:pStyle w:val="Heading2"/>
        <w:spacing w:after="120" w:before="240"/>
      </w:pPr>
      <w:r>
        <w:rPr>
          <w:rFonts w:ascii="Arial" w:cs="Arial" w:eastAsia="Arial" w:hAnsi="Arial"/>
          <w:b/>
          <w:bCs/>
          <w:color w:val="2E75B6"/>
          <w:sz w:val="24"/>
          <w:szCs w:val="24"/>
        </w:rPr>
        <w:t xml:space="preserve">5.1 Roles and Responsibilities</w:t>
      </w:r>
    </w:p>
    <w:p>
      <w:pPr>
        <w:spacing w:after="80" w:before="80"/>
      </w:pPr>
      <w:r>
        <w:rPr>
          <w:rFonts w:ascii="Arial" w:cs="Arial" w:eastAsia="Arial" w:hAnsi="Arial"/>
          <w:color w:val="595959"/>
          <w:sz w:val="22"/>
          <w:szCs w:val="22"/>
        </w:rPr>
        <w:t xml:space="preserve">The following key roles are accountable for implementing this Policy: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Appointed To</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 Owner</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Overall accountability for the AIMS and this Policy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[AIMS Owner Name &amp; Title]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Ethics Committee / 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Strategic AI governance, policy oversight, escalation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2"/>
                <w:szCs w:val="22"/>
              </w:rPr>
              <w:t xml:space="preserve">[AI Ethics Committee / Board Name]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Business Unit AI Owners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Accountability for AI systems within their business domain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[Relevant Business Unit Heads]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Engineering / Data Science Lead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Technical standards, model governance, development practices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2"/>
                <w:szCs w:val="22"/>
              </w:rPr>
              <w:t xml:space="preserve">[CTO / Head of Technology Name]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Head of Risk &amp; Compliance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Risk oversight, regulatory compliance, audit coordination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[Head of Risk &amp; Compliance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Data Protection Officer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Privacy compliance for AI systems processing personal data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2"/>
                <w:szCs w:val="22"/>
              </w:rPr>
              <w:t xml:space="preserve">[Data Protection Officer (DPO) Name]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All Employees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Compliance with this Policy; reporting concerns or incidents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All staff</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5.2 AI Risk Management</w:t>
      </w:r>
    </w:p>
    <w:p>
      <w:pPr>
        <w:spacing w:after="80" w:before="80"/>
      </w:pPr>
      <w:r>
        <w:rPr>
          <w:rFonts w:ascii="Arial" w:cs="Arial" w:eastAsia="Arial" w:hAnsi="Arial"/>
          <w:color w:val="595959"/>
          <w:sz w:val="22"/>
          <w:szCs w:val="22"/>
        </w:rPr>
        <w:t xml:space="preserve">All AI systems must be subject to risk assessment prior to deployment and on a regular basis thereafter. AI-specific risks — including bias, model drift, data quality, security vulnerabilities, and regulatory non-compliance — must be identified, assessed, and treated in accordance with the AI Risk Management Methodology (AIMS-RISK-001).</w:t>
      </w:r>
    </w:p>
    <w:p>
      <w:pPr>
        <w:spacing w:after="80" w:before="80"/>
      </w:pPr>
      <w:r>
        <w:t xml:space="preserve"/>
      </w:r>
    </w:p>
    <w:p>
      <w:pPr>
        <w:spacing w:after="80" w:before="80"/>
      </w:pPr>
      <w:r>
        <w:rPr>
          <w:rFonts w:ascii="Arial" w:cs="Arial" w:eastAsia="Arial" w:hAnsi="Arial"/>
          <w:b/>
          <w:bCs/>
          <w:color w:val="1F3864"/>
          <w:sz w:val="22"/>
          <w:szCs w:val="22"/>
        </w:rPr>
        <w:t xml:space="preserve">Risk appetite: </w:t>
      </w:r>
      <w:r>
        <w:rPr>
          <w:rFonts w:ascii="Arial" w:cs="Arial" w:eastAsia="Arial" w:hAnsi="Arial"/>
          <w:b/>
          <w:bCs/>
          <w:color w:val="C00000"/>
          <w:sz w:val="22"/>
          <w:szCs w:val="22"/>
        </w:rPr>
        <w:t xml:space="preserve">[Risk Appetite Statement]</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5.3 AI Impact Assessment</w:t>
      </w:r>
    </w:p>
    <w:p>
      <w:pPr>
        <w:spacing w:after="80" w:before="80"/>
      </w:pPr>
      <w:r>
        <w:rPr>
          <w:rFonts w:ascii="Arial" w:cs="Arial" w:eastAsia="Arial" w:hAnsi="Arial"/>
          <w:color w:val="595959"/>
          <w:sz w:val="22"/>
          <w:szCs w:val="22"/>
        </w:rPr>
        <w:t xml:space="preserve">AI systems that may have a significant impact on individuals, groups, or society must undergo an AI Impact Assessment (AIMS-REG-003) before deployment. This includes systems used in high-stakes decisions such as hiring, credit, healthcare, law enforcement, or content moderation.</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5.4 Human Oversight</w:t>
      </w:r>
    </w:p>
    <w:p>
      <w:pPr>
        <w:spacing w:after="80" w:before="80"/>
      </w:pPr>
      <w:r>
        <w:rPr>
          <w:rFonts w:ascii="Arial" w:cs="Arial" w:eastAsia="Arial" w:hAnsi="Arial"/>
          <w:color w:val="595959"/>
          <w:sz w:val="22"/>
          <w:szCs w:val="22"/>
        </w:rPr>
        <w:t xml:space="preserve">AI systems must not operate without appropriate human oversight mechanisms. The level of oversight required is proportionate to the risk and impact of the AI system. Override mechanisms must be available and documented for all AI systems that make or recommend consequential decisions affecting individuals.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6. Compliance Requirements</w:t>
      </w:r>
    </w:p>
    <w:p>
      <w:pPr>
        <w:pStyle w:val="Heading2"/>
        <w:spacing w:after="120" w:before="240"/>
      </w:pPr>
      <w:r>
        <w:rPr>
          <w:rFonts w:ascii="Arial" w:cs="Arial" w:eastAsia="Arial" w:hAnsi="Arial"/>
          <w:b/>
          <w:bCs/>
          <w:color w:val="2E75B6"/>
          <w:sz w:val="24"/>
          <w:szCs w:val="24"/>
        </w:rPr>
        <w:t xml:space="preserve">6.1 Regulatory Compliance</w:t>
      </w:r>
    </w:p>
    <w:p>
      <w:pPr>
        <w:spacing w:after="80" w:before="80"/>
      </w:pPr>
      <w:r>
        <w:rPr>
          <w:rFonts w:ascii="Arial" w:cs="Arial" w:eastAsia="Arial" w:hAnsi="Arial"/>
          <w:color w:val="595959"/>
          <w:sz w:val="22"/>
          <w:szCs w:val="22"/>
        </w:rPr>
        <w:t>[Organization Name] is committed to compliance with all applicable AI-related laws, regulations, and standards including but not limited to:</w:t>
      </w:r>
    </w:p>
    <w:p>
      <w:pPr>
        <w:pStyle w:val="ListParagraph"/>
        <w:numPr>
          <w:ilvl w:val="0"/>
          <w:numId w:val="2"/>
        </w:numPr>
        <w:spacing w:after="60" w:before="60"/>
      </w:pPr>
      <w:r>
        <w:rPr>
          <w:rFonts w:ascii="Arial" w:cs="Arial" w:eastAsia="Arial" w:hAnsi="Arial"/>
          <w:color w:val="595959"/>
          <w:sz w:val="22"/>
          <w:szCs w:val="22"/>
        </w:rPr>
        <w:t xml:space="preserve">[Applicable AI Regulations]</w:t>
      </w:r>
    </w:p>
    <w:p>
      <w:pPr>
        <w:pStyle w:val="ListParagraph"/>
        <w:numPr>
          <w:ilvl w:val="0"/>
          <w:numId w:val="2"/>
        </w:numPr>
        <w:spacing w:after="60" w:before="60"/>
      </w:pPr>
      <w:r>
        <w:rPr>
          <w:rFonts w:ascii="Arial" w:cs="Arial" w:eastAsia="Arial" w:hAnsi="Arial"/>
          <w:color w:val="595959"/>
          <w:sz w:val="22"/>
          <w:szCs w:val="22"/>
        </w:rPr>
        <w:t xml:space="preserve">[Privacy Framework / Law]</w:t>
      </w:r>
    </w:p>
    <w:p>
      <w:pPr>
        <w:pStyle w:val="ListParagraph"/>
        <w:numPr>
          <w:ilvl w:val="0"/>
          <w:numId w:val="2"/>
        </w:numPr>
        <w:spacing w:after="60" w:before="60"/>
      </w:pPr>
      <w:r>
        <w:rPr>
          <w:rFonts w:ascii="Arial" w:cs="Arial" w:eastAsia="Arial" w:hAnsi="Arial"/>
          <w:color w:val="595959"/>
          <w:sz w:val="22"/>
          <w:szCs w:val="22"/>
        </w:rPr>
        <w:t xml:space="preserve">[Industry-Specific Regulations]</w:t>
      </w:r>
    </w:p>
    <w:p>
      <w:pPr>
        <w:pStyle w:val="ListParagraph"/>
        <w:numPr>
          <w:ilvl w:val="0"/>
          <w:numId w:val="2"/>
        </w:numPr>
        <w:spacing w:after="60" w:before="60"/>
      </w:pPr>
      <w:r>
        <w:rPr>
          <w:rFonts w:ascii="Arial" w:cs="Arial" w:eastAsia="Arial" w:hAnsi="Arial"/>
          <w:color w:val="595959"/>
          <w:sz w:val="22"/>
          <w:szCs w:val="22"/>
        </w:rPr>
        <w:t xml:space="preserve">ISO/IEC 42001:2023 — AI Management Systems</w:t>
      </w:r>
    </w:p>
    <w:p>
      <w:pPr>
        <w:pStyle w:val="ListParagraph"/>
        <w:numPr>
          <w:ilvl w:val="0"/>
          <w:numId w:val="2"/>
        </w:numPr>
        <w:spacing w:after="60" w:before="60"/>
      </w:pPr>
      <w:r>
        <w:rPr>
          <w:rFonts w:ascii="Arial" w:cs="Arial" w:eastAsia="Arial" w:hAnsi="Arial"/>
          <w:color w:val="595959"/>
          <w:sz w:val="22"/>
          <w:szCs w:val="22"/>
        </w:rPr>
        <w:t xml:space="preserve">ISO/IEC 27001 — Information Security (where applicable)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6.2 Third-Party AI</w:t>
      </w:r>
    </w:p>
    <w:p>
      <w:pPr>
        <w:spacing w:after="80" w:before="80"/>
      </w:pPr>
      <w:r>
        <w:rPr>
          <w:rFonts w:ascii="Arial" w:cs="Arial" w:eastAsia="Arial" w:hAnsi="Arial"/>
          <w:color w:val="595959"/>
          <w:sz w:val="22"/>
          <w:szCs w:val="22"/>
        </w:rPr>
        <w:t xml:space="preserve">All third-party AI systems and AI-enabled services procured by the organisation must be evaluated for compliance with this Policy before adoption. Suppliers must demonstrate adequate AI governance practices. Refer to the Third-Party AI Management Procedure (AIMS-PROC-009).</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6.3 Policy Compliance</w:t>
      </w:r>
    </w:p>
    <w:p>
      <w:pPr>
        <w:spacing w:after="80" w:before="80"/>
      </w:pPr>
      <w:r>
        <w:rPr>
          <w:rFonts w:ascii="Arial" w:cs="Arial" w:eastAsia="Arial" w:hAnsi="Arial"/>
          <w:color w:val="595959"/>
          <w:sz w:val="22"/>
          <w:szCs w:val="22"/>
        </w:rPr>
        <w:t xml:space="preserve">Non-compliance with this Policy may result in disciplinary action. Employees are encouraged to raise concerns about AI systems or practices through the incident reporting process (AIMS-PROC-005) or through the organisation's whistleblowing channels without fear of retaliation.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7. Prohibited AI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none" w:color="FFFFFF" w:sz="0"/>
              <w:right w:val="none" w:color="FFFFFF" w:sz="0"/>
            </w:tcBorders>
            <w:shd w:fill="EBF3FB" w:val="clear"/>
            <w:tcMar>
              <w:top w:type="dxa" w:w="120"/>
              <w:left w:type="dxa" w:w="200"/>
              <w:bottom w:type="dxa" w:w="120"/>
              <w:right w:type="dxa" w:w="200"/>
            </w:tcMar>
          </w:tcPr>
          <w:p>
            <w:pPr>
              <w:spacing w:after="40" w:before="60"/>
            </w:pPr>
            <w:r>
              <w:rPr>
                <w:rFonts w:ascii="Arial" w:cs="Arial" w:eastAsia="Arial" w:hAnsi="Arial"/>
                <w:b/>
                <w:bCs/>
                <w:color w:val="2E75B6"/>
                <w:sz w:val="22"/>
                <w:szCs w:val="22"/>
              </w:rPr>
              <w:t xml:space="preserve">The following uses of AI are strictly prohibited at [Organization Name]:</w:t>
            </w:r>
          </w:p>
        </w:tc>
      </w:tr>
    </w:tbl>
    <w:p>
      <w:pPr>
        <w:spacing w:after="80" w:before="80"/>
      </w:pPr>
      <w:r>
        <w:t xml:space="preserve"/>
      </w:r>
    </w:p>
    <w:p>
      <w:pPr>
        <w:pStyle w:val="ListParagraph"/>
        <w:numPr>
          <w:ilvl w:val="0"/>
          <w:numId w:val="3"/>
        </w:numPr>
        <w:spacing w:after="60" w:before="60"/>
      </w:pPr>
      <w:r>
        <w:rPr>
          <w:rFonts w:ascii="Arial" w:cs="Arial" w:eastAsia="Arial" w:hAnsi="Arial"/>
          <w:color w:val="595959"/>
          <w:sz w:val="22"/>
          <w:szCs w:val="22"/>
        </w:rPr>
        <w:t xml:space="preserve">AI systems that manipulate individuals through subliminal techniques, exploitation of vulnerabilities, or deceptive practices</w:t>
      </w:r>
    </w:p>
    <w:p>
      <w:pPr>
        <w:pStyle w:val="ListParagraph"/>
        <w:numPr>
          <w:ilvl w:val="0"/>
          <w:numId w:val="3"/>
        </w:numPr>
        <w:spacing w:after="60" w:before="60"/>
      </w:pPr>
      <w:r>
        <w:rPr>
          <w:rFonts w:ascii="Arial" w:cs="Arial" w:eastAsia="Arial" w:hAnsi="Arial"/>
          <w:color w:val="595959"/>
          <w:sz w:val="22"/>
          <w:szCs w:val="22"/>
        </w:rPr>
        <w:t xml:space="preserve">AI-based social scoring of individuals that could lead to unjustified or disproportionate treatment</w:t>
      </w:r>
    </w:p>
    <w:p>
      <w:pPr>
        <w:pStyle w:val="ListParagraph"/>
        <w:numPr>
          <w:ilvl w:val="0"/>
          <w:numId w:val="3"/>
        </w:numPr>
        <w:spacing w:after="60" w:before="60"/>
      </w:pPr>
      <w:r>
        <w:rPr>
          <w:rFonts w:ascii="Arial" w:cs="Arial" w:eastAsia="Arial" w:hAnsi="Arial"/>
          <w:color w:val="595959"/>
          <w:sz w:val="22"/>
          <w:szCs w:val="22"/>
        </w:rPr>
        <w:t xml:space="preserve">Real-time biometric identification in publicly accessible spaces (unless explicitly permitted by law)</w:t>
      </w:r>
    </w:p>
    <w:p>
      <w:pPr>
        <w:pStyle w:val="ListParagraph"/>
        <w:numPr>
          <w:ilvl w:val="0"/>
          <w:numId w:val="3"/>
        </w:numPr>
        <w:spacing w:after="60" w:before="60"/>
      </w:pPr>
      <w:r>
        <w:rPr>
          <w:rFonts w:ascii="Arial" w:cs="Arial" w:eastAsia="Arial" w:hAnsi="Arial"/>
          <w:color w:val="595959"/>
          <w:sz w:val="22"/>
          <w:szCs w:val="22"/>
        </w:rPr>
        <w:t xml:space="preserve">AI systems designed to cause harm to individuals, groups, or critical infrastructure</w:t>
      </w:r>
    </w:p>
    <w:p>
      <w:pPr>
        <w:pStyle w:val="ListParagraph"/>
        <w:numPr>
          <w:ilvl w:val="0"/>
          <w:numId w:val="3"/>
        </w:numPr>
        <w:spacing w:after="60" w:before="60"/>
      </w:pPr>
      <w:r>
        <w:rPr>
          <w:rFonts w:ascii="Arial" w:cs="Arial" w:eastAsia="Arial" w:hAnsi="Arial"/>
          <w:color w:val="595959"/>
          <w:sz w:val="22"/>
          <w:szCs w:val="22"/>
        </w:rPr>
        <w:t xml:space="preserve">Use of personal data to train AI models without appropriate legal basis and consent</w:t>
      </w:r>
    </w:p>
    <w:p>
      <w:pPr>
        <w:pStyle w:val="ListParagraph"/>
        <w:numPr>
          <w:ilvl w:val="0"/>
          <w:numId w:val="3"/>
        </w:numPr>
        <w:spacing w:after="60" w:before="60"/>
      </w:pPr>
      <w:r>
        <w:rPr>
          <w:rFonts w:ascii="Arial" w:cs="Arial" w:eastAsia="Arial" w:hAnsi="Arial"/>
          <w:color w:val="595959"/>
          <w:sz w:val="22"/>
          <w:szCs w:val="22"/>
        </w:rPr>
        <w:t xml:space="preserve">Deployment of AI systems that have not passed required validation and risk assessment</w:t>
      </w:r>
    </w:p>
    <w:p>
      <w:pPr>
        <w:spacing w:after="80" w:before="80"/>
      </w:pPr>
      <w:r>
        <w:rPr>
          <w:rFonts w:ascii="Arial" w:cs="Arial" w:eastAsia="Arial" w:hAnsi="Arial"/>
          <w:b/>
          <w:bCs/>
          <w:color w:val="1F3864"/>
          <w:sz w:val="22"/>
          <w:szCs w:val="22"/>
        </w:rPr>
        <w:t xml:space="preserve">Note: </w:t>
      </w:r>
      <w:r>
        <w:rPr>
          <w:rFonts w:ascii="Arial" w:cs="Arial" w:eastAsia="Arial" w:hAnsi="Arial"/>
          <w:color w:val="595959"/>
          <w:sz w:val="22"/>
          <w:szCs w:val="22"/>
        </w:rPr>
        <w:t xml:space="preserve">Additional prohibited use cases may be defined for specific AI systems or business contexts via the AI Impact Assessment process.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8. Training and Awareness</w:t>
      </w:r>
    </w:p>
    <w:p>
      <w:pPr>
        <w:spacing w:after="80" w:before="80"/>
      </w:pPr>
      <w:r>
        <w:rPr>
          <w:rFonts w:ascii="Arial" w:cs="Arial" w:eastAsia="Arial" w:hAnsi="Arial"/>
          <w:color w:val="595959"/>
          <w:sz w:val="22"/>
          <w:szCs w:val="22"/>
        </w:rPr>
        <w:t xml:space="preserve">All employees involved in AI-related activities must complete mandatory AI awareness training aligned to their role. Training requirements are defined in the Training and Awareness Procedure (AIMS-PROC-003). At minimum, all employees must complete </w:t>
      </w:r>
      <w:r>
        <w:rPr>
          <w:rFonts w:ascii="Arial" w:cs="Arial" w:eastAsia="Arial" w:hAnsi="Arial"/>
          <w:b/>
          <w:bCs/>
          <w:color w:val="1F3864"/>
          <w:sz w:val="22"/>
          <w:szCs w:val="22"/>
        </w:rPr>
        <w:t xml:space="preserve">Responsible AI Foundations</w:t>
      </w:r>
      <w:r>
        <w:rPr>
          <w:rFonts w:ascii="Arial" w:cs="Arial" w:eastAsia="Arial" w:hAnsi="Arial"/>
          <w:color w:val="595959"/>
          <w:sz w:val="22"/>
          <w:szCs w:val="22"/>
        </w:rPr>
        <w:t xml:space="preserve"> training within 30 days of joining and annually thereafter.</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9. Monitoring, Review, and Improvement</w:t>
      </w:r>
    </w:p>
    <w:p>
      <w:pPr>
        <w:spacing w:after="80" w:before="80"/>
      </w:pPr>
      <w:r>
        <w:rPr>
          <w:rFonts w:ascii="Arial" w:cs="Arial" w:eastAsia="Arial" w:hAnsi="Arial"/>
          <w:color w:val="595959"/>
          <w:sz w:val="22"/>
          <w:szCs w:val="22"/>
        </w:rPr>
        <w:t xml:space="preserve">This Policy and the effectiveness of the AI Management System will be reviewed:</w:t>
      </w:r>
    </w:p>
    <w:p>
      <w:pPr>
        <w:pStyle w:val="ListParagraph"/>
        <w:numPr>
          <w:ilvl w:val="0"/>
          <w:numId w:val="2"/>
        </w:numPr>
        <w:spacing w:after="60" w:before="60"/>
      </w:pPr>
      <w:r>
        <w:rPr>
          <w:rFonts w:ascii="Arial" w:cs="Arial" w:eastAsia="Arial" w:hAnsi="Arial"/>
          <w:color w:val="595959"/>
          <w:sz w:val="22"/>
          <w:szCs w:val="22"/>
        </w:rPr>
        <w:t xml:space="preserve">Annually as part of the Management Review process (AIMS-PROC-008)</w:t>
      </w:r>
    </w:p>
    <w:p>
      <w:pPr>
        <w:pStyle w:val="ListParagraph"/>
        <w:numPr>
          <w:ilvl w:val="0"/>
          <w:numId w:val="2"/>
        </w:numPr>
        <w:spacing w:after="60" w:before="60"/>
      </w:pPr>
      <w:r>
        <w:rPr>
          <w:rFonts w:ascii="Arial" w:cs="Arial" w:eastAsia="Arial" w:hAnsi="Arial"/>
          <w:color w:val="595959"/>
          <w:sz w:val="22"/>
          <w:szCs w:val="22"/>
        </w:rPr>
        <w:t xml:space="preserve">Following any significant AI incident or regulatory change</w:t>
      </w:r>
    </w:p>
    <w:p>
      <w:pPr>
        <w:pStyle w:val="ListParagraph"/>
        <w:numPr>
          <w:ilvl w:val="0"/>
          <w:numId w:val="2"/>
        </w:numPr>
        <w:spacing w:after="60" w:before="60"/>
      </w:pPr>
      <w:r>
        <w:rPr>
          <w:rFonts w:ascii="Arial" w:cs="Arial" w:eastAsia="Arial" w:hAnsi="Arial"/>
          <w:color w:val="595959"/>
          <w:sz w:val="22"/>
          <w:szCs w:val="22"/>
        </w:rPr>
        <w:t xml:space="preserve">Following the introduction of a new high-risk AI system</w:t>
      </w:r>
    </w:p>
    <w:p>
      <w:pPr>
        <w:spacing w:after="80" w:before="80"/>
      </w:pPr>
      <w:r>
        <w:t xml:space="preserve"/>
      </w:r>
    </w:p>
    <w:p>
      <w:pPr>
        <w:spacing w:after="80" w:before="80"/>
      </w:pPr>
      <w:r>
        <w:rPr>
          <w:rFonts w:ascii="Arial" w:cs="Arial" w:eastAsia="Arial" w:hAnsi="Arial"/>
          <w:color w:val="595959"/>
          <w:sz w:val="22"/>
          <w:szCs w:val="22"/>
        </w:rPr>
        <w:t xml:space="preserve">Performance against this Policy is measured through KPIs and reported in the AIMS Dashboard (AIMS-DASH-001). Nonconformities are managed through the Corrective Action process (AIMS-PROC-006).</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10.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 Scope Statement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AIMS-SCOPE-001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Management System Manual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AIMS-MAN-001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Statement of Applicability</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AIMS-SOA-001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Risk Management Methodology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AIMS-RISK-001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 Impact Assessment Template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AIMS-REG-003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AIMS Roles and Responsibilities Matrix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AIMS-ROLES-001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Data Governance Procedure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AIMS-PROC-001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 Incident Management Procedure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AIMS-PROC-005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Third-Party AI Management Procedure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AIMS-PROC-009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Human Oversight Procedure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AIMS-SOP-009</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11.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 Title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[CEO / Managing Director 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2"/>
                <w:szCs w:val="22"/>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2"/>
                <w:szCs w:val="22"/>
              </w:rPr>
              <w:t xml:space="preserve">[AIMS Owner Name &amp; Title]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2"/>
                <w:szCs w:val="22"/>
              </w:rPr>
              <w:t xml:space="preserve">[Document 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[Head of Risk &amp; Compliance 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Date]</w:t>
            </w:r>
          </w:p>
        </w:tc>
      </w:tr>
    </w:tbl>
    <w:p>
      <w:pPr>
        <w:spacing w:after="80" w:before="80"/>
      </w:pPr>
      <w:r>
        <w:t xml:space="preserve"/>
      </w:r>
    </w:p>
    <w:p>
      <w:pPr>
        <w:spacing w:after="80" w:before="80"/>
      </w:pPr>
      <w:r>
        <w:rPr>
          <w:rFonts w:ascii="Arial" w:cs="Arial" w:eastAsia="Arial" w:hAnsi="Arial"/>
          <w:b/>
          <w:bCs/>
          <w:color w:val="1F3864"/>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after="0" w:before="120"/>
    </w:pPr>
    <w:r>
      <w:rPr>
        <w:rFonts w:ascii="Arial" w:cs="Arial" w:eastAsia="Arial" w:hAnsi="Arial"/>
        <w:color w:val="595959"/>
        <w:sz w:val="16"/>
        <w:szCs w:val="16"/>
      </w:rPr>
      <w:t xml:space="preserve">CONFIDENTIAL — For Internal Use Only</w:t>
    </w:r>
    <w:r>
      <w:rPr>
        <w:rFonts w:ascii="Arial" w:cs="Arial" w:eastAsia="Arial" w:hAnsi="Arial"/>
        <w:color w:val="595959"/>
        <w:sz w:val="16"/>
        <w:szCs w:val="16"/>
      </w:rPr>
      <w:t xml:space="preserve">	AIMS-POL-001  v1.0	[Organization Name]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before="0"/>
    </w:pPr>
    <w:r>
      <w:rPr>
        <w:rFonts w:ascii="Arial" w:cs="Arial" w:eastAsia="Arial" w:hAnsi="Arial"/>
        <w:b/>
        <w:bCs/>
        <w:color w:val="1F3864"/>
        <w:sz w:val="18"/>
        <w:szCs w:val="18"/>
      </w:rPr>
      <w:t xml:space="preserve">[Organization Name]</w:t>
    </w:r>
    <w:r>
      <w:rPr>
        <w:rFonts w:ascii="Arial" w:cs="Arial" w:eastAsia="Arial" w:hAnsi="Arial"/>
        <w:sz w:val="18"/>
        <w:szCs w:val="18"/>
      </w:rPr>
      <w:t xml:space="preserve">	</w:t>
    </w:r>
    <w:r>
      <w:rPr>
        <w:rFonts w:ascii="Arial" w:cs="Arial" w:eastAsia="Arial" w:hAnsi="Arial"/>
        <w:color w:val="595959"/>
        <w:sz w:val="18"/>
        <w:szCs w:val="18"/>
      </w:rPr>
      <w:t xml:space="preserve">AI Policy — Responsible AI Policy | AIMS-POL-001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2026-04-09T15:23:58.915Z</dcterms:created>
  <dcterms:modified xsi:type="dcterms:W3CDTF">2026-04-09T15:23:58.916Z</dcterms:modified>
</cp:coreProperties>
</file>

<file path=docProps/custom.xml><?xml version="1.0" encoding="utf-8"?>
<Properties xmlns="http://schemas.openxmlformats.org/officeDocument/2006/custom-properties" xmlns:vt="http://schemas.openxmlformats.org/officeDocument/2006/docPropsVTypes"/>
</file>