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spacing w:after="60" w:before="200"/>
              <w:jc w:val="center"/>
            </w:pPr>
            <w:r>
              <w:rPr>
                <w:rFonts w:ascii="Arial" w:cs="Arial" w:eastAsia="Arial" w:hAnsi="Arial"/>
                <w:b/>
                <w:bCs/>
                <w:color w:val="FFFFFF"/>
                <w:sz w:val="52"/>
                <w:szCs w:val="52"/>
              </w:rPr>
              <w:t xml:space="preserve">[Organization Name]</w:t>
            </w:r>
          </w:p>
          <w:p>
            <w:pPr>
              <w:spacing w:after="60" w:before="60"/>
              <w:jc w:val="center"/>
            </w:pPr>
            <w:r>
              <w:rPr>
                <w:rFonts w:ascii="Arial" w:cs="Arial" w:eastAsia="Arial" w:hAnsi="Arial"/>
                <w:color w:val="BDD7EE"/>
                <w:sz w:val="32"/>
                <w:szCs w:val="32"/>
              </w:rPr>
              <w:t xml:space="preserve">AI Management System (AIMS)</w:t>
            </w:r>
          </w:p>
          <w:p>
            <w:pPr>
              <w:spacing w:after="200" w:before="60"/>
              <w:jc w:val="center"/>
            </w:pPr>
            <w:r>
              <w:rPr>
                <w:rFonts w:ascii="Arial" w:cs="Arial" w:eastAsia="Arial" w:hAnsi="Arial"/>
                <w:b/>
                <w:bCs/>
                <w:color w:val="FFFFFF"/>
                <w:sz w:val="36"/>
                <w:szCs w:val="36"/>
              </w:rPr>
              <w:t xml:space="preserve">DATA GOVERNANCE PROCEDURE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800"/>
        <w:gridCol w:w="1400"/>
        <w:gridCol w:w="1800"/>
        <w:gridCol w:w="18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Document Title</w:t>
            </w:r>
          </w:p>
        </w:tc>
        <w:tc>
          <w:tcPr>
            <w:tcW w:type="dxa" w:w="13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Doc Ref</w:t>
            </w:r>
          </w:p>
        </w:tc>
        <w:tc>
          <w:tcPr>
            <w:tcW w:type="dxa" w:w="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Version</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Date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Approved By</w:t>
            </w:r>
          </w:p>
        </w:tc>
        <w:tc>
          <w:tcPr>
            <w:tcW w:type="dxa" w:w="18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Review Date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Data Governance Procedure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AIMS-PROC-001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[Document 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[AIMS Owner Name &amp; Title]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[Document Date]</w:t>
            </w:r>
          </w:p>
        </w:tc>
      </w:tr>
    </w:tbl>
    <w:p>
      <w:pPr>
        <w:spacing w:after="60" w:before="6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1. Purpose and Scope</w:t>
      </w:r>
    </w:p>
    <w:p>
      <w:pPr>
        <w:spacing w:after="80" w:before="80"/>
      </w:pPr>
      <w:r>
        <w:rPr>
          <w:rFonts w:ascii="Arial" w:cs="Arial" w:eastAsia="Arial" w:hAnsi="Arial"/>
          <w:color w:val="595959"/>
          <w:sz w:val="22"/>
          <w:szCs w:val="22"/>
        </w:rPr>
        <w:t xml:space="preserve">This procedure defines how </w:t>
      </w:r>
      <w:r>
        <w:rPr>
          <w:rFonts w:ascii="Arial" w:cs="Arial" w:eastAsia="Arial" w:hAnsi="Arial"/>
          <w:b/>
          <w:bCs/>
          <w:color w:val="C00000"/>
          <w:sz w:val="22"/>
          <w:szCs w:val="22"/>
        </w:rPr>
        <w:t xml:space="preserve">[Organization Name]</w:t>
      </w:r>
      <w:r>
        <w:rPr>
          <w:rFonts w:ascii="Arial" w:cs="Arial" w:eastAsia="Arial" w:hAnsi="Arial"/>
          <w:color w:val="595959"/>
          <w:sz w:val="22"/>
          <w:szCs w:val="22"/>
        </w:rPr>
        <w:t xml:space="preserve"> manages data throughout the AI system lifecycle, ensuring data is fit for purpose, handled lawfully, and governed consistently. It applies to all data used in the training, validation, testing, and operation of AI systems within the AIMS scope. It supports compliance with </w:t>
      </w:r>
      <w:r>
        <w:rPr>
          <w:rFonts w:ascii="Arial" w:cs="Arial" w:eastAsia="Arial" w:hAnsi="Arial"/>
          <w:b/>
          <w:bCs/>
          <w:color w:val="C00000"/>
          <w:sz w:val="22"/>
          <w:szCs w:val="22"/>
        </w:rPr>
        <w:t xml:space="preserve">[Privacy Framework / Law]</w:t>
      </w:r>
      <w:r>
        <w:rPr>
          <w:rFonts w:ascii="Arial" w:cs="Arial" w:eastAsia="Arial" w:hAnsi="Arial"/>
          <w:color w:val="595959"/>
          <w:sz w:val="22"/>
          <w:szCs w:val="22"/>
        </w:rPr>
        <w:t xml:space="preserve"> and ISO/IEC 42001:2023 Annex A.7.</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2. Data Quality Requirements</w:t>
      </w:r>
    </w:p>
    <w:p>
      <w:pPr>
        <w:spacing w:after="80" w:before="80"/>
      </w:pPr>
      <w:r>
        <w:rPr>
          <w:rFonts w:ascii="Arial" w:cs="Arial" w:eastAsia="Arial" w:hAnsi="Arial"/>
          <w:color w:val="595959"/>
          <w:sz w:val="22"/>
          <w:szCs w:val="22"/>
        </w:rPr>
        <w:t xml:space="preserve">All data used in AI systems must meet the following quality standards before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Quality Dimension</w:t>
            </w:r>
          </w:p>
        </w:tc>
        <w:tc>
          <w:tcPr>
            <w:tcW w:type="dxa" w:w="3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Requirement</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Verification Method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Completeness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No more than [X]% missing values in critical fields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Pre-processing data quality report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Accuracy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Data reflects real-world conditions and source systems accurately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Source validation and spot-check audits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Consistency</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Data is formatted uniformly; no conflicting records across sources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Schema validation and cross-source reconciliation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Timeliness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Data is current and represents the intended time period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Data freshness checks; timestamp validation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Representativeness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Training data covers all relevant population subgroups adequately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Statistical analysis; demographic distribution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Relevance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Data attributes are pertinent to the AI task and outcome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Feature selection review; domain expert sign-off</w:t>
            </w:r>
          </w:p>
        </w:tc>
      </w:tr>
    </w:tbl>
    <w:p>
      <w:pPr>
        <w:spacing w:after="80" w:before="80"/>
      </w:pPr>
      <w:r>
        <w:rPr>
          <w:rFonts w:ascii="Arial" w:cs="Arial" w:eastAsia="Arial" w:hAnsi="Arial"/>
          <w:color w:val="595959"/>
          <w:sz w:val="22"/>
          <w:szCs w:val="22"/>
        </w:rPr>
        <w:t xml:space="preserve">Data quality issues must be documented and resolved before data is used for model training or validation. Unresolved issues must be escalated to the AI System Business Owner.</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3. Data Classification and Access Control</w:t>
      </w:r>
    </w:p>
    <w:p>
      <w:pPr>
        <w:pStyle w:val="Heading2"/>
        <w:spacing w:after="120" w:before="240"/>
      </w:pPr>
      <w:r>
        <w:rPr>
          <w:rFonts w:ascii="Arial" w:cs="Arial" w:eastAsia="Arial" w:hAnsi="Arial"/>
          <w:b/>
          <w:bCs/>
          <w:color w:val="2E75B6"/>
          <w:sz w:val="24"/>
          <w:szCs w:val="24"/>
        </w:rPr>
        <w:t xml:space="preserve">3.1 Data Classification</w:t>
      </w:r>
    </w:p>
    <w:p>
      <w:pPr>
        <w:spacing w:after="80" w:before="80"/>
      </w:pPr>
      <w:r>
        <w:rPr>
          <w:rFonts w:ascii="Arial" w:cs="Arial" w:eastAsia="Arial" w:hAnsi="Arial"/>
          <w:color w:val="595959"/>
          <w:sz w:val="22"/>
          <w:szCs w:val="22"/>
        </w:rPr>
        <w:t xml:space="preserve">All data used in AI systems must be classified in accordance with the organisation's information security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Classification</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Example AI Data</w:t>
            </w:r>
          </w:p>
        </w:tc>
        <w:tc>
          <w:tcPr>
            <w:tcW w:type="dxa" w:w="28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Access Control</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Public</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Information approved for public release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Published datasets, open-source training data</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Open — no restrictions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Internal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Information for internal use only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Business transaction data, operational logs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Need-to-know basis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Confidential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Sensitive business or client information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Customer records, financial data, HR data</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Restricted — role-based access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Restricted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Highest sensitivity — legal or regulatory implications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Special category personal data, biometric data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Strictly controlled — minimum access</w:t>
            </w:r>
          </w:p>
        </w:tc>
      </w:tr>
    </w:tbl>
    <w:p>
      <w:pPr>
        <w:pStyle w:val="Heading2"/>
        <w:spacing w:after="120" w:before="240"/>
      </w:pPr>
      <w:r>
        <w:rPr>
          <w:rFonts w:ascii="Arial" w:cs="Arial" w:eastAsia="Arial" w:hAnsi="Arial"/>
          <w:b/>
          <w:bCs/>
          <w:color w:val="2E75B6"/>
          <w:sz w:val="24"/>
          <w:szCs w:val="24"/>
        </w:rPr>
        <w:t xml:space="preserve">3.2 Access Controls</w:t>
      </w:r>
    </w:p>
    <w:p>
      <w:pPr>
        <w:spacing w:after="80" w:before="80"/>
      </w:pPr>
      <w:r>
        <w:rPr>
          <w:rFonts w:ascii="Arial" w:cs="Arial" w:eastAsia="Arial" w:hAnsi="Arial"/>
          <w:color w:val="595959"/>
          <w:sz w:val="22"/>
          <w:szCs w:val="22"/>
        </w:rPr>
        <w:t xml:space="preserve">Access to AI training, validation, and operational datasets is controlled as follows:</w:t>
      </w:r>
    </w:p>
    <w:p>
      <w:pPr>
        <w:pStyle w:val="ListParagraph"/>
        <w:numPr>
          <w:ilvl w:val="0"/>
          <w:numId w:val="2"/>
        </w:numPr>
        <w:spacing w:after="60" w:before="60"/>
      </w:pPr>
      <w:r>
        <w:rPr>
          <w:rFonts w:ascii="Arial" w:cs="Arial" w:eastAsia="Arial" w:hAnsi="Arial"/>
          <w:color w:val="595959"/>
          <w:sz w:val="22"/>
          <w:szCs w:val="22"/>
        </w:rPr>
        <w:t xml:space="preserve">Access is granted on a need-to-know, least-privilege basis</w:t>
      </w:r>
    </w:p>
    <w:p>
      <w:pPr>
        <w:pStyle w:val="ListParagraph"/>
        <w:numPr>
          <w:ilvl w:val="0"/>
          <w:numId w:val="2"/>
        </w:numPr>
        <w:spacing w:after="60" w:before="60"/>
      </w:pPr>
      <w:r>
        <w:rPr>
          <w:rFonts w:ascii="Arial" w:cs="Arial" w:eastAsia="Arial" w:hAnsi="Arial"/>
          <w:color w:val="595959"/>
          <w:sz w:val="22"/>
          <w:szCs w:val="22"/>
        </w:rPr>
        <w:t xml:space="preserve">Access requests must be approved by the AI System Business Owner and [CISO / Head of InfoSec Name]</w:t>
      </w:r>
    </w:p>
    <w:p>
      <w:pPr>
        <w:pStyle w:val="ListParagraph"/>
        <w:numPr>
          <w:ilvl w:val="0"/>
          <w:numId w:val="2"/>
        </w:numPr>
        <w:spacing w:after="60" w:before="60"/>
      </w:pPr>
      <w:r>
        <w:rPr>
          <w:rFonts w:ascii="Arial" w:cs="Arial" w:eastAsia="Arial" w:hAnsi="Arial"/>
          <w:color w:val="595959"/>
          <w:sz w:val="22"/>
          <w:szCs w:val="22"/>
        </w:rPr>
        <w:t xml:space="preserve">Access rights are reviewed quarterly and revoked immediately upon role change or departure</w:t>
      </w:r>
    </w:p>
    <w:p>
      <w:pPr>
        <w:pStyle w:val="ListParagraph"/>
        <w:numPr>
          <w:ilvl w:val="0"/>
          <w:numId w:val="2"/>
        </w:numPr>
        <w:spacing w:after="60" w:before="60"/>
      </w:pPr>
      <w:r>
        <w:rPr>
          <w:rFonts w:ascii="Arial" w:cs="Arial" w:eastAsia="Arial" w:hAnsi="Arial"/>
          <w:color w:val="595959"/>
          <w:sz w:val="22"/>
          <w:szCs w:val="22"/>
        </w:rPr>
        <w:t xml:space="preserve">All data access is logged and monitored for anomalous activity</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4. Data Privacy and Protection</w:t>
      </w:r>
    </w:p>
    <w:p>
      <w:pPr>
        <w:pStyle w:val="Heading2"/>
        <w:spacing w:after="120" w:before="240"/>
      </w:pPr>
      <w:r>
        <w:rPr>
          <w:rFonts w:ascii="Arial" w:cs="Arial" w:eastAsia="Arial" w:hAnsi="Arial"/>
          <w:b/>
          <w:bCs/>
          <w:color w:val="2E75B6"/>
          <w:sz w:val="24"/>
          <w:szCs w:val="24"/>
        </w:rPr>
        <w:t xml:space="preserve">4.1 Lawful Basis for Processing</w:t>
      </w:r>
    </w:p>
    <w:p>
      <w:pPr>
        <w:spacing w:after="80" w:before="80"/>
      </w:pPr>
      <w:r>
        <w:rPr>
          <w:rFonts w:ascii="Arial" w:cs="Arial" w:eastAsia="Arial" w:hAnsi="Arial"/>
          <w:color w:val="595959"/>
          <w:sz w:val="22"/>
          <w:szCs w:val="22"/>
        </w:rPr>
        <w:t xml:space="preserve">All personal data used in AI systems must have a documented lawful basis for processing under </w:t>
      </w:r>
      <w:r>
        <w:rPr>
          <w:rFonts w:ascii="Arial" w:cs="Arial" w:eastAsia="Arial" w:hAnsi="Arial"/>
          <w:b/>
          <w:bCs/>
          <w:color w:val="C00000"/>
          <w:sz w:val="22"/>
          <w:szCs w:val="22"/>
        </w:rPr>
        <w:t xml:space="preserve">[Privacy Framework / Law]</w:t>
      </w:r>
      <w:r>
        <w:rPr>
          <w:rFonts w:ascii="Arial" w:cs="Arial" w:eastAsia="Arial" w:hAnsi="Arial"/>
          <w:color w:val="595959"/>
          <w:sz w:val="22"/>
          <w:szCs w:val="22"/>
        </w:rPr>
        <w:t xml:space="preserve">. The lawful basis must be recorded in the AI Impact Assessment (AIMS-REG-003) and the Data Protection Impact Assessment (DPIA) where required.</w:t>
      </w:r>
    </w:p>
    <w:p>
      <w:pPr>
        <w:pStyle w:val="Heading2"/>
        <w:spacing w:after="120" w:before="240"/>
      </w:pPr>
      <w:r>
        <w:rPr>
          <w:rFonts w:ascii="Arial" w:cs="Arial" w:eastAsia="Arial" w:hAnsi="Arial"/>
          <w:b/>
          <w:bCs/>
          <w:color w:val="2E75B6"/>
          <w:sz w:val="24"/>
          <w:szCs w:val="24"/>
        </w:rPr>
        <w:t xml:space="preserve">4.2 Data Minimisation</w:t>
      </w:r>
    </w:p>
    <w:p>
      <w:pPr>
        <w:spacing w:after="80" w:before="80"/>
      </w:pPr>
      <w:r>
        <w:rPr>
          <w:rFonts w:ascii="Arial" w:cs="Arial" w:eastAsia="Arial" w:hAnsi="Arial"/>
          <w:color w:val="595959"/>
          <w:sz w:val="22"/>
          <w:szCs w:val="22"/>
        </w:rPr>
        <w:t xml:space="preserve">Only the minimum necessary personal data is collected and used for AI purposes. Data attributes that are not required for the AI system's function must be excluded or anonymised.</w:t>
      </w:r>
    </w:p>
    <w:p>
      <w:pPr>
        <w:pStyle w:val="Heading2"/>
        <w:spacing w:after="120" w:before="240"/>
      </w:pPr>
      <w:r>
        <w:rPr>
          <w:rFonts w:ascii="Arial" w:cs="Arial" w:eastAsia="Arial" w:hAnsi="Arial"/>
          <w:b/>
          <w:bCs/>
          <w:color w:val="2E75B6"/>
          <w:sz w:val="24"/>
          <w:szCs w:val="24"/>
        </w:rPr>
        <w:t xml:space="preserve">4.3 Anonymisation and Pseudonymisation</w:t>
      </w:r>
    </w:p>
    <w:p>
      <w:pPr>
        <w:spacing w:after="80" w:before="80"/>
      </w:pPr>
      <w:r>
        <w:rPr>
          <w:rFonts w:ascii="Arial" w:cs="Arial" w:eastAsia="Arial" w:hAnsi="Arial"/>
          <w:color w:val="595959"/>
          <w:sz w:val="22"/>
          <w:szCs w:val="22"/>
        </w:rPr>
        <w:t xml:space="preserve">Where possible, personal data used in AI training and testing should be anonymised or pseudonymised. The method and effectiveness of anonymisation must be documented and periodically re-evaluated, particularly as re-identification risks evolve.</w:t>
      </w:r>
    </w:p>
    <w:p>
      <w:pPr>
        <w:pStyle w:val="Heading2"/>
        <w:spacing w:after="120" w:before="240"/>
      </w:pPr>
      <w:r>
        <w:rPr>
          <w:rFonts w:ascii="Arial" w:cs="Arial" w:eastAsia="Arial" w:hAnsi="Arial"/>
          <w:b/>
          <w:bCs/>
          <w:color w:val="2E75B6"/>
          <w:sz w:val="24"/>
          <w:szCs w:val="24"/>
        </w:rPr>
        <w:t xml:space="preserve">4.4 Data Subject Rights</w:t>
      </w:r>
    </w:p>
    <w:p>
      <w:pPr>
        <w:spacing w:after="80" w:before="80"/>
      </w:pPr>
      <w:r>
        <w:rPr>
          <w:rFonts w:ascii="Arial" w:cs="Arial" w:eastAsia="Arial" w:hAnsi="Arial"/>
          <w:color w:val="595959"/>
          <w:sz w:val="22"/>
          <w:szCs w:val="22"/>
        </w:rPr>
        <w:t xml:space="preserve">Processes must be in place to honour data subject rights in the context of AI systems, including: the right to explanation of AI decisions; the right to object to automated decision-making; the right to erasure ('right to be forgotten'); and the right of access to personal data.</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5. Data Security</w:t>
      </w:r>
    </w:p>
    <w:p>
      <w:pPr>
        <w:pStyle w:val="ListParagraph"/>
        <w:numPr>
          <w:ilvl w:val="0"/>
          <w:numId w:val="2"/>
        </w:numPr>
        <w:spacing w:after="60" w:before="60"/>
      </w:pPr>
      <w:r>
        <w:rPr>
          <w:rFonts w:ascii="Arial" w:cs="Arial" w:eastAsia="Arial" w:hAnsi="Arial"/>
          <w:color w:val="595959"/>
          <w:sz w:val="22"/>
          <w:szCs w:val="22"/>
        </w:rPr>
        <w:t xml:space="preserve">All AI training datasets, models, and operational data must be stored in approved, secure storage environments</w:t>
      </w:r>
    </w:p>
    <w:p>
      <w:pPr>
        <w:pStyle w:val="ListParagraph"/>
        <w:numPr>
          <w:ilvl w:val="0"/>
          <w:numId w:val="2"/>
        </w:numPr>
        <w:spacing w:after="60" w:before="60"/>
      </w:pPr>
      <w:r>
        <w:rPr>
          <w:rFonts w:ascii="Arial" w:cs="Arial" w:eastAsia="Arial" w:hAnsi="Arial"/>
          <w:color w:val="595959"/>
          <w:sz w:val="22"/>
          <w:szCs w:val="22"/>
        </w:rPr>
        <w:t xml:space="preserve">Encryption at rest and in transit must be applied to all Confidential and Restricted data</w:t>
      </w:r>
    </w:p>
    <w:p>
      <w:pPr>
        <w:pStyle w:val="ListParagraph"/>
        <w:numPr>
          <w:ilvl w:val="0"/>
          <w:numId w:val="2"/>
        </w:numPr>
        <w:spacing w:after="60" w:before="60"/>
      </w:pPr>
      <w:r>
        <w:rPr>
          <w:rFonts w:ascii="Arial" w:cs="Arial" w:eastAsia="Arial" w:hAnsi="Arial"/>
          <w:color w:val="595959"/>
          <w:sz w:val="22"/>
          <w:szCs w:val="22"/>
        </w:rPr>
        <w:t xml:space="preserve">Training datasets must be version-controlled and stored with checksums to detect tampering</w:t>
      </w:r>
    </w:p>
    <w:p>
      <w:pPr>
        <w:pStyle w:val="ListParagraph"/>
        <w:numPr>
          <w:ilvl w:val="0"/>
          <w:numId w:val="2"/>
        </w:numPr>
        <w:spacing w:after="60" w:before="60"/>
      </w:pPr>
      <w:r>
        <w:rPr>
          <w:rFonts w:ascii="Arial" w:cs="Arial" w:eastAsia="Arial" w:hAnsi="Arial"/>
          <w:color w:val="595959"/>
          <w:sz w:val="22"/>
          <w:szCs w:val="22"/>
        </w:rPr>
        <w:t xml:space="preserve">External data sources must be vetted by [CISO / Head of InfoSec Name] before use</w:t>
      </w:r>
    </w:p>
    <w:p>
      <w:pPr>
        <w:pStyle w:val="ListParagraph"/>
        <w:numPr>
          <w:ilvl w:val="0"/>
          <w:numId w:val="2"/>
        </w:numPr>
        <w:spacing w:after="60" w:before="60"/>
      </w:pPr>
      <w:r>
        <w:rPr>
          <w:rFonts w:ascii="Arial" w:cs="Arial" w:eastAsia="Arial" w:hAnsi="Arial"/>
          <w:color w:val="595959"/>
          <w:sz w:val="22"/>
          <w:szCs w:val="22"/>
        </w:rPr>
        <w:t xml:space="preserve">Data used in AI systems must be included in the organisation's backup and recovery procedures</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6. Data Lineage and Provenance</w:t>
      </w:r>
    </w:p>
    <w:p>
      <w:pPr>
        <w:spacing w:after="80" w:before="80"/>
      </w:pPr>
      <w:r>
        <w:rPr>
          <w:rFonts w:ascii="Arial" w:cs="Arial" w:eastAsia="Arial" w:hAnsi="Arial"/>
          <w:color w:val="595959"/>
          <w:sz w:val="22"/>
          <w:szCs w:val="22"/>
        </w:rPr>
        <w:t xml:space="preserve">Data lineage documentation must be maintained for all AI systems, capturing: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Lineage Element</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What to Document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Source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Origin of data (system, database, external provider, synthetic)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Collection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How data was gathered (API, export, scraping, manual entry)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Processing steps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Transformations, cleaning, feature engineering applied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Splits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Train / validation / test split ratios and methodology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Versions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Version identifiers for each dataset used in model training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Date range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Time period the data covers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Known limitations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Known gaps, biases, or quality issues in the dataset</w:t>
            </w:r>
          </w:p>
        </w:tc>
      </w:tr>
    </w:tbl>
    <w:p>
      <w:pPr>
        <w:spacing w:after="60" w:before="6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7. Data Retention and Disposal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Data Type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Minimum Retention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Maximum Retention</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Disposal Method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AI training datasets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Duration of model's active lifecycle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[X years] after model retirement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Secure deletion with certificate of destruction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Validation / test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Duration of model's active lifecycle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[X years] after model retirement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Secure deletion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AI decision logs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[2 years] from decision 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[7 years] (regulatory minimum)</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Secure deletion; archive if required by law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Incident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[3 years] from incident closure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[7 years]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Secure deletion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Personal data in AI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Duration of lawful processing basis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Minimum necessary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Secure deletion; anonymise where possible</w:t>
            </w:r>
          </w:p>
        </w:tc>
      </w:tr>
    </w:tbl>
    <w:p>
      <w:pPr>
        <w:spacing w:after="60" w:before="6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8.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Role</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Data Governance Responsibility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AI System Business Owner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Accountable for lawful, appropriate data use in their AI 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AI System Technical Owner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Implements data quality, lineage, and security controls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Data Protection Officer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Advises on privacy; approves DPIA; handles data subject rights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[CISO / Head of InfoSec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Approves data storage and access controls; manages data security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Data Engineers / Scientists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Implement data quality checks; maintain lineage documentation</w:t>
            </w:r>
          </w:p>
        </w:tc>
      </w:tr>
    </w:tbl>
    <w:p>
      <w:pPr>
        <w:spacing w:after="60" w:before="6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9.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Role / Title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Signature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[Name]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[e.g., Chief AI Officer / CTO]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[Document 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[e.g., Head of Risk &amp; Compliance]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[Document Date]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[Name]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[e.g., Data Protection Officer]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[Document Date]</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2340"/>
        <w:gridCol w:w="4680"/>
      </w:tblGrid>
      <w:tr>
        <w:trPr>
          <w:tblHeader/>
        </w:trPr>
        <w:tc>
          <w:tcPr>
            <w:tcW w:type="dxa" w:w="7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Version</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Author</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 of Changes</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1.0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[Document Date]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[Name]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Initial version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[Document 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[Description of change]</w:t>
            </w:r>
          </w:p>
        </w:tc>
      </w:tr>
    </w:tbl>
    <w:p>
      <w:pPr>
        <w:spacing w:after="60" w:before="6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10. Related Documents</w:t>
      </w:r>
    </w:p>
    <w:p>
      <w:pPr>
        <w:pStyle w:val="ListParagraph"/>
        <w:numPr>
          <w:ilvl w:val="0"/>
          <w:numId w:val="2"/>
        </w:numPr>
        <w:spacing w:after="60" w:before="60"/>
      </w:pPr>
      <w:r>
        <w:rPr>
          <w:rFonts w:ascii="Arial" w:cs="Arial" w:eastAsia="Arial" w:hAnsi="Arial"/>
          <w:color w:val="595959"/>
          <w:sz w:val="22"/>
          <w:szCs w:val="22"/>
        </w:rPr>
        <w:t xml:space="preserve">AI Impact Assessment Template (AIMS-REG-003)</w:t>
      </w:r>
    </w:p>
    <w:p>
      <w:pPr>
        <w:pStyle w:val="ListParagraph"/>
        <w:numPr>
          <w:ilvl w:val="0"/>
          <w:numId w:val="2"/>
        </w:numPr>
        <w:spacing w:after="60" w:before="60"/>
      </w:pPr>
      <w:r>
        <w:rPr>
          <w:rFonts w:ascii="Arial" w:cs="Arial" w:eastAsia="Arial" w:hAnsi="Arial"/>
          <w:color w:val="595959"/>
          <w:sz w:val="22"/>
          <w:szCs w:val="22"/>
        </w:rPr>
        <w:t xml:space="preserve">Model Governance Procedure (AIMS-PROC-002)</w:t>
      </w:r>
    </w:p>
    <w:p>
      <w:pPr>
        <w:pStyle w:val="ListParagraph"/>
        <w:numPr>
          <w:ilvl w:val="0"/>
          <w:numId w:val="2"/>
        </w:numPr>
        <w:spacing w:after="60" w:before="60"/>
      </w:pPr>
      <w:r>
        <w:rPr>
          <w:rFonts w:ascii="Arial" w:cs="Arial" w:eastAsia="Arial" w:hAnsi="Arial"/>
          <w:color w:val="595959"/>
          <w:sz w:val="22"/>
          <w:szCs w:val="22"/>
        </w:rPr>
        <w:t xml:space="preserve">Data Preparation &amp; Training SOP (AIMS-SOP-002)</w:t>
      </w:r>
    </w:p>
    <w:p>
      <w:pPr>
        <w:pStyle w:val="ListParagraph"/>
        <w:numPr>
          <w:ilvl w:val="0"/>
          <w:numId w:val="2"/>
        </w:numPr>
        <w:spacing w:after="60" w:before="60"/>
      </w:pPr>
      <w:r>
        <w:rPr>
          <w:rFonts w:ascii="Arial" w:cs="Arial" w:eastAsia="Arial" w:hAnsi="Arial"/>
          <w:color w:val="595959"/>
          <w:sz w:val="22"/>
          <w:szCs w:val="22"/>
        </w:rPr>
        <w:t xml:space="preserve">Legal &amp; Regulatory Requirements Register (AIMS-REG-004)</w:t>
      </w:r>
    </w:p>
    <w:p>
      <w:pPr>
        <w:spacing w:after="60" w:before="60"/>
      </w:pPr>
      <w:r>
        <w:t xml:space="preserve"/>
      </w:r>
    </w:p>
    <w:p>
      <w:pPr>
        <w:spacing w:after="80" w:before="80"/>
      </w:pPr>
      <w:r>
        <w:rPr>
          <w:rFonts w:ascii="Arial" w:cs="Arial" w:eastAsia="Arial" w:hAnsi="Arial"/>
          <w:b/>
          <w:bCs/>
          <w:color w:val="1F3864"/>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after="0" w:before="120"/>
    </w:pPr>
    <w:r>
      <w:rPr>
        <w:rFonts w:ascii="Arial" w:cs="Arial" w:eastAsia="Arial" w:hAnsi="Arial"/>
        <w:color w:val="595959"/>
        <w:sz w:val="16"/>
        <w:szCs w:val="16"/>
      </w:rPr>
      <w:t xml:space="preserve">CONFIDENTIAL — For Internal Use Only</w:t>
    </w:r>
    <w:r>
      <w:rPr>
        <w:rFonts w:ascii="Arial" w:cs="Arial" w:eastAsia="Arial" w:hAnsi="Arial"/>
        <w:color w:val="595959"/>
        <w:sz w:val="16"/>
        <w:szCs w:val="16"/>
      </w:rPr>
      <w:t xml:space="preserve">		Doc Ref: AIMS-PROC-001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before="0"/>
    </w:pPr>
    <w:r>
      <w:rPr>
        <w:rFonts w:ascii="Arial" w:cs="Arial" w:eastAsia="Arial" w:hAnsi="Arial"/>
        <w:b/>
        <w:bCs/>
        <w:color w:val="1F3864"/>
        <w:sz w:val="18"/>
        <w:szCs w:val="18"/>
      </w:rPr>
      <w:t xml:space="preserve">[Organization Name]</w:t>
    </w:r>
    <w:r>
      <w:rPr>
        <w:rFonts w:ascii="Arial" w:cs="Arial" w:eastAsia="Arial" w:hAnsi="Arial"/>
        <w:sz w:val="18"/>
        <w:szCs w:val="18"/>
      </w:rPr>
      <w:t xml:space="preserve">	</w:t>
    </w:r>
    <w:r>
      <w:rPr>
        <w:rFonts w:ascii="Arial" w:cs="Arial" w:eastAsia="Arial" w:hAnsi="Arial"/>
        <w:color w:val="595959"/>
        <w:sz w:val="18"/>
        <w:szCs w:val="18"/>
      </w:rPr>
      <w:t xml:space="preserve">Data Governance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2026-04-09T07:46:25.217Z</dcterms:created>
  <dcterms:modified xsi:type="dcterms:W3CDTF">2026-04-09T07:46:25.217Z</dcterms:modified>
</cp:coreProperties>
</file>

<file path=docProps/custom.xml><?xml version="1.0" encoding="utf-8"?>
<Properties xmlns="http://schemas.openxmlformats.org/officeDocument/2006/custom-properties" xmlns:vt="http://schemas.openxmlformats.org/officeDocument/2006/docPropsVTypes"/>
</file>