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2"/>
        </w:rPr>
        <w:t>Equity Tracker</w:t>
      </w:r>
    </w:p>
    <w:p>
      <w:pPr>
        <w:jc w:val="center"/>
      </w:pPr>
      <w:r>
        <w:rPr>
          <w:color w:val="444444"/>
          <w:sz w:val="40"/>
        </w:rPr>
        <w:t>Quarterly Release Schedule — 2026</w:t>
      </w:r>
    </w:p>
    <w:p>
      <w:pPr>
        <w:jc w:val="center"/>
      </w:pPr>
      <w:r>
        <w:rPr>
          <w:color w:val="666666"/>
          <w:sz w:val="24"/>
        </w:rPr>
        <w:br/>
        <w:t>Document Owner: Product Management</w:t>
        <w:br/>
        <w:t>Version: 1.0</w:t>
        <w:br/>
        <w:t>Last Updated: September 15, 2026</w:t>
        <w:br/>
        <w:t>Status: Approved</w:t>
      </w:r>
    </w:p>
    <w:p>
      <w:r>
        <w:br w:type="page"/>
      </w:r>
    </w:p>
    <w:p>
      <w:pPr>
        <w:pStyle w:val="Heading1"/>
      </w:pPr>
      <w:r>
        <w:rPr>
          <w:color w:val="1F4E79"/>
        </w:rPr>
        <w:t>1. Overview</w:t>
      </w:r>
    </w:p>
    <w:p>
      <w:r>
        <w:t>This document defines the 2026 quarterly release schedule for the Equity Tracker, the platform used to monitor portfolios, watchlists, and market data for equity research. Each quarter delivers one major release, followed by a stabilization patch. Dates are targets and may shift by up to two weeks based on QA results and market-data vendor dependencies.</w:t>
      </w:r>
    </w:p>
    <w:p>
      <w:r>
        <w:t>Release cadence: one major release per quarter (weeks 10–11 of the quarter), with a patch release approximately three weeks later. Hotfixes are released as needed outside this cadence.</w:t>
      </w:r>
    </w:p>
    <w:p>
      <w:pPr>
        <w:pStyle w:val="Heading1"/>
      </w:pPr>
      <w:r>
        <w:rPr>
          <w:color w:val="1F4E79"/>
        </w:rPr>
        <w:t>2. Release Schedule by Quarter</w:t>
      </w:r>
    </w:p>
    <w:p>
      <w:pPr>
        <w:pStyle w:val="Heading2"/>
      </w:pPr>
      <w:r>
        <w:rPr>
          <w:color w:val="1F4E79"/>
        </w:rPr>
        <w:t>Q1 2026 — Foundation &amp; Data Quality</w:t>
      </w:r>
    </w:p>
    <w:p>
      <w:pPr>
        <w:spacing w:after="120"/>
      </w:pPr>
      <w:r>
        <w:t>Theme: harden the core platform and improve the reliability of market data ingestion.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1F4E79"/>
          </w:tcPr>
          <w:p>
            <w:r>
              <w:rPr>
                <w:b/>
                <w:color w:val="FFFFFF"/>
                <w:sz w:val="20"/>
              </w:rPr>
              <w:t>Release</w:t>
            </w:r>
          </w:p>
        </w:tc>
        <w:tc>
          <w:tcPr>
            <w:tcW w:type="dxa" w:w="1152"/>
            <w:shd w:val="clear" w:fill="1F4E79"/>
          </w:tcPr>
          <w:p>
            <w:r>
              <w:rPr>
                <w:b/>
                <w:color w:val="FFFFFF"/>
                <w:sz w:val="20"/>
              </w:rPr>
              <w:t>Version</w:t>
            </w:r>
          </w:p>
        </w:tc>
        <w:tc>
          <w:tcPr>
            <w:tcW w:type="dxa" w:w="1584"/>
            <w:shd w:val="clear" w:fill="1F4E79"/>
          </w:tcPr>
          <w:p>
            <w:r>
              <w:rPr>
                <w:b/>
                <w:color w:val="FFFFFF"/>
                <w:sz w:val="20"/>
              </w:rPr>
              <w:t>Target Date</w:t>
            </w:r>
          </w:p>
        </w:tc>
        <w:tc>
          <w:tcPr>
            <w:tcW w:type="dxa" w:w="4320"/>
            <w:shd w:val="clear" w:fill="1F4E79"/>
          </w:tcPr>
          <w:p>
            <w:r>
              <w:rPr>
                <w:b/>
                <w:color w:val="FFFFFF"/>
                <w:sz w:val="20"/>
              </w:rPr>
              <w:t>Key Deliverables</w:t>
            </w:r>
          </w:p>
        </w:tc>
        <w:tc>
          <w:tcPr>
            <w:tcW w:type="dxa" w:w="1440"/>
            <w:shd w:val="clear" w:fill="1F4E79"/>
          </w:tcPr>
          <w:p>
            <w:r>
              <w:rPr>
                <w:b/>
                <w:color w:val="FFFFFF"/>
                <w:sz w:val="20"/>
              </w:rPr>
              <w:t>Status</w:t>
            </w:r>
          </w:p>
        </w:tc>
      </w:tr>
      <w:tr>
        <w:tc>
          <w:tcPr>
            <w:tcW w:type="dxa" w:w="1296"/>
          </w:tcPr>
          <w:p>
            <w:r>
              <w:rPr>
                <w:sz w:val="20"/>
              </w:rPr>
              <w:t>R1.0</w:t>
            </w:r>
          </w:p>
        </w:tc>
        <w:tc>
          <w:tcPr>
            <w:tcW w:type="dxa" w:w="1152"/>
          </w:tcPr>
          <w:p>
            <w:r>
              <w:rPr>
                <w:sz w:val="20"/>
              </w:rPr>
              <w:t>v2.4.0</w:t>
            </w:r>
          </w:p>
        </w:tc>
        <w:tc>
          <w:tcPr>
            <w:tcW w:type="dxa" w:w="1584"/>
          </w:tcPr>
          <w:p>
            <w:r>
              <w:rPr>
                <w:sz w:val="20"/>
              </w:rPr>
              <w:t>Mar 12, 2026</w:t>
            </w:r>
          </w:p>
        </w:tc>
        <w:tc>
          <w:tcPr>
            <w:tcW w:type="dxa" w:w="4320"/>
          </w:tcPr>
          <w:p>
            <w:r>
              <w:rPr>
                <w:sz w:val="20"/>
              </w:rPr>
              <w:t>Real-time price feed upgrade; ticker deduplication; portfolio import from CSV/Excel; audit logging</w:t>
            </w:r>
          </w:p>
        </w:tc>
        <w:tc>
          <w:tcPr>
            <w:tcW w:type="dxa" w:w="1440"/>
          </w:tcPr>
          <w:p>
            <w:r>
              <w:rPr>
                <w:b/>
                <w:color w:val="2E7D32"/>
                <w:sz w:val="20"/>
              </w:rPr>
              <w:t>Released</w:t>
            </w:r>
          </w:p>
        </w:tc>
      </w:tr>
      <w:tr>
        <w:tc>
          <w:tcPr>
            <w:tcW w:type="dxa" w:w="1296"/>
            <w:shd w:val="clear" w:fill="DCE6F1"/>
          </w:tcPr>
          <w:p>
            <w:r>
              <w:rPr>
                <w:sz w:val="20"/>
              </w:rPr>
              <w:t>R1.1</w:t>
            </w:r>
          </w:p>
        </w:tc>
        <w:tc>
          <w:tcPr>
            <w:tcW w:type="dxa" w:w="1152"/>
            <w:shd w:val="clear" w:fill="DCE6F1"/>
          </w:tcPr>
          <w:p>
            <w:r>
              <w:rPr>
                <w:sz w:val="20"/>
              </w:rPr>
              <w:t>v2.4.1</w:t>
            </w:r>
          </w:p>
        </w:tc>
        <w:tc>
          <w:tcPr>
            <w:tcW w:type="dxa" w:w="1584"/>
            <w:shd w:val="clear" w:fill="DCE6F1"/>
          </w:tcPr>
          <w:p>
            <w:r>
              <w:rPr>
                <w:sz w:val="20"/>
              </w:rPr>
              <w:t>Apr 2, 2026</w:t>
            </w:r>
          </w:p>
        </w:tc>
        <w:tc>
          <w:tcPr>
            <w:tcW w:type="dxa" w:w="4320"/>
            <w:shd w:val="clear" w:fill="DCE6F1"/>
          </w:tcPr>
          <w:p>
            <w:r>
              <w:rPr>
                <w:sz w:val="20"/>
              </w:rPr>
              <w:t>Stabilization patch: feed reconnection fixes, import edge cases, performance tuning</w:t>
            </w:r>
          </w:p>
        </w:tc>
        <w:tc>
          <w:tcPr>
            <w:tcW w:type="dxa" w:w="1440"/>
            <w:shd w:val="clear" w:fill="DCE6F1"/>
          </w:tcPr>
          <w:p>
            <w:r>
              <w:rPr>
                <w:b/>
                <w:color w:val="2E7D32"/>
                <w:sz w:val="20"/>
              </w:rPr>
              <w:t>Released</w:t>
            </w:r>
          </w:p>
        </w:tc>
      </w:tr>
    </w:tbl>
    <w:p/>
    <w:p>
      <w:pPr>
        <w:pStyle w:val="Heading2"/>
      </w:pPr>
      <w:r>
        <w:rPr>
          <w:color w:val="1F4E79"/>
        </w:rPr>
        <w:t>Q2 2026 — Analytics &amp; Screening</w:t>
      </w:r>
    </w:p>
    <w:p>
      <w:pPr>
        <w:spacing w:after="120"/>
      </w:pPr>
      <w:r>
        <w:t>Theme: expand analytical tooling for research workflows.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1F4E79"/>
          </w:tcPr>
          <w:p>
            <w:r>
              <w:rPr>
                <w:b/>
                <w:color w:val="FFFFFF"/>
                <w:sz w:val="20"/>
              </w:rPr>
              <w:t>Release</w:t>
            </w:r>
          </w:p>
        </w:tc>
        <w:tc>
          <w:tcPr>
            <w:tcW w:type="dxa" w:w="1152"/>
            <w:shd w:val="clear" w:fill="1F4E79"/>
          </w:tcPr>
          <w:p>
            <w:r>
              <w:rPr>
                <w:b/>
                <w:color w:val="FFFFFF"/>
                <w:sz w:val="20"/>
              </w:rPr>
              <w:t>Version</w:t>
            </w:r>
          </w:p>
        </w:tc>
        <w:tc>
          <w:tcPr>
            <w:tcW w:type="dxa" w:w="1584"/>
            <w:shd w:val="clear" w:fill="1F4E79"/>
          </w:tcPr>
          <w:p>
            <w:r>
              <w:rPr>
                <w:b/>
                <w:color w:val="FFFFFF"/>
                <w:sz w:val="20"/>
              </w:rPr>
              <w:t>Target Date</w:t>
            </w:r>
          </w:p>
        </w:tc>
        <w:tc>
          <w:tcPr>
            <w:tcW w:type="dxa" w:w="4320"/>
            <w:shd w:val="clear" w:fill="1F4E79"/>
          </w:tcPr>
          <w:p>
            <w:r>
              <w:rPr>
                <w:b/>
                <w:color w:val="FFFFFF"/>
                <w:sz w:val="20"/>
              </w:rPr>
              <w:t>Key Deliverables</w:t>
            </w:r>
          </w:p>
        </w:tc>
        <w:tc>
          <w:tcPr>
            <w:tcW w:type="dxa" w:w="1440"/>
            <w:shd w:val="clear" w:fill="1F4E79"/>
          </w:tcPr>
          <w:p>
            <w:r>
              <w:rPr>
                <w:b/>
                <w:color w:val="FFFFFF"/>
                <w:sz w:val="20"/>
              </w:rPr>
              <w:t>Status</w:t>
            </w:r>
          </w:p>
        </w:tc>
      </w:tr>
      <w:tr>
        <w:tc>
          <w:tcPr>
            <w:tcW w:type="dxa" w:w="1296"/>
          </w:tcPr>
          <w:p>
            <w:r>
              <w:rPr>
                <w:sz w:val="20"/>
              </w:rPr>
              <w:t>R2.0</w:t>
            </w:r>
          </w:p>
        </w:tc>
        <w:tc>
          <w:tcPr>
            <w:tcW w:type="dxa" w:w="1152"/>
          </w:tcPr>
          <w:p>
            <w:r>
              <w:rPr>
                <w:sz w:val="20"/>
              </w:rPr>
              <w:t>v2.5.0</w:t>
            </w:r>
          </w:p>
        </w:tc>
        <w:tc>
          <w:tcPr>
            <w:tcW w:type="dxa" w:w="1584"/>
          </w:tcPr>
          <w:p>
            <w:r>
              <w:rPr>
                <w:sz w:val="20"/>
              </w:rPr>
              <w:t>Jun 11, 2026</w:t>
            </w:r>
          </w:p>
        </w:tc>
        <w:tc>
          <w:tcPr>
            <w:tcW w:type="dxa" w:w="4320"/>
          </w:tcPr>
          <w:p>
            <w:r>
              <w:rPr>
                <w:sz w:val="20"/>
              </w:rPr>
              <w:t>Custom screeners; factor exposure dashboard; earnings calendar integration; export to PDF</w:t>
            </w:r>
          </w:p>
        </w:tc>
        <w:tc>
          <w:tcPr>
            <w:tcW w:type="dxa" w:w="1440"/>
          </w:tcPr>
          <w:p>
            <w:r>
              <w:rPr>
                <w:b/>
                <w:color w:val="2E7D32"/>
                <w:sz w:val="20"/>
              </w:rPr>
              <w:t>Released</w:t>
            </w:r>
          </w:p>
        </w:tc>
      </w:tr>
      <w:tr>
        <w:tc>
          <w:tcPr>
            <w:tcW w:type="dxa" w:w="1296"/>
            <w:shd w:val="clear" w:fill="DCE6F1"/>
          </w:tcPr>
          <w:p>
            <w:r>
              <w:rPr>
                <w:sz w:val="20"/>
              </w:rPr>
              <w:t>R2.1</w:t>
            </w:r>
          </w:p>
        </w:tc>
        <w:tc>
          <w:tcPr>
            <w:tcW w:type="dxa" w:w="1152"/>
            <w:shd w:val="clear" w:fill="DCE6F1"/>
          </w:tcPr>
          <w:p>
            <w:r>
              <w:rPr>
                <w:sz w:val="20"/>
              </w:rPr>
              <w:t>v2.5.1</w:t>
            </w:r>
          </w:p>
        </w:tc>
        <w:tc>
          <w:tcPr>
            <w:tcW w:type="dxa" w:w="1584"/>
            <w:shd w:val="clear" w:fill="DCE6F1"/>
          </w:tcPr>
          <w:p>
            <w:r>
              <w:rPr>
                <w:sz w:val="20"/>
              </w:rPr>
              <w:t>Jul 2, 2026</w:t>
            </w:r>
          </w:p>
        </w:tc>
        <w:tc>
          <w:tcPr>
            <w:tcW w:type="dxa" w:w="4320"/>
            <w:shd w:val="clear" w:fill="DCE6F1"/>
          </w:tcPr>
          <w:p>
            <w:r>
              <w:rPr>
                <w:sz w:val="20"/>
              </w:rPr>
              <w:t>Stabilization patch: screener query optimizer, dashboard rendering fixes</w:t>
            </w:r>
          </w:p>
        </w:tc>
        <w:tc>
          <w:tcPr>
            <w:tcW w:type="dxa" w:w="1440"/>
            <w:shd w:val="clear" w:fill="DCE6F1"/>
          </w:tcPr>
          <w:p>
            <w:r>
              <w:rPr>
                <w:b/>
                <w:color w:val="2E7D32"/>
                <w:sz w:val="20"/>
              </w:rPr>
              <w:t>Released</w:t>
            </w:r>
          </w:p>
        </w:tc>
      </w:tr>
    </w:tbl>
    <w:p/>
    <w:p>
      <w:pPr>
        <w:pStyle w:val="Heading2"/>
      </w:pPr>
      <w:r>
        <w:rPr>
          <w:color w:val="1F4E79"/>
        </w:rPr>
        <w:t>Q3 2026 — Alerts &amp; Collaboration</w:t>
      </w:r>
    </w:p>
    <w:p>
      <w:pPr>
        <w:spacing w:after="120"/>
      </w:pPr>
      <w:r>
        <w:t>Theme: keep analysts informed and enable shared research.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1F4E79"/>
          </w:tcPr>
          <w:p>
            <w:r>
              <w:rPr>
                <w:b/>
                <w:color w:val="FFFFFF"/>
                <w:sz w:val="20"/>
              </w:rPr>
              <w:t>Release</w:t>
            </w:r>
          </w:p>
        </w:tc>
        <w:tc>
          <w:tcPr>
            <w:tcW w:type="dxa" w:w="1152"/>
            <w:shd w:val="clear" w:fill="1F4E79"/>
          </w:tcPr>
          <w:p>
            <w:r>
              <w:rPr>
                <w:b/>
                <w:color w:val="FFFFFF"/>
                <w:sz w:val="20"/>
              </w:rPr>
              <w:t>Version</w:t>
            </w:r>
          </w:p>
        </w:tc>
        <w:tc>
          <w:tcPr>
            <w:tcW w:type="dxa" w:w="1584"/>
            <w:shd w:val="clear" w:fill="1F4E79"/>
          </w:tcPr>
          <w:p>
            <w:r>
              <w:rPr>
                <w:b/>
                <w:color w:val="FFFFFF"/>
                <w:sz w:val="20"/>
              </w:rPr>
              <w:t>Target Date</w:t>
            </w:r>
          </w:p>
        </w:tc>
        <w:tc>
          <w:tcPr>
            <w:tcW w:type="dxa" w:w="4320"/>
            <w:shd w:val="clear" w:fill="1F4E79"/>
          </w:tcPr>
          <w:p>
            <w:r>
              <w:rPr>
                <w:b/>
                <w:color w:val="FFFFFF"/>
                <w:sz w:val="20"/>
              </w:rPr>
              <w:t>Key Deliverables</w:t>
            </w:r>
          </w:p>
        </w:tc>
        <w:tc>
          <w:tcPr>
            <w:tcW w:type="dxa" w:w="1440"/>
            <w:shd w:val="clear" w:fill="1F4E79"/>
          </w:tcPr>
          <w:p>
            <w:r>
              <w:rPr>
                <w:b/>
                <w:color w:val="FFFFFF"/>
                <w:sz w:val="20"/>
              </w:rPr>
              <w:t>Status</w:t>
            </w:r>
          </w:p>
        </w:tc>
      </w:tr>
      <w:tr>
        <w:tc>
          <w:tcPr>
            <w:tcW w:type="dxa" w:w="1296"/>
          </w:tcPr>
          <w:p>
            <w:r>
              <w:rPr>
                <w:sz w:val="20"/>
              </w:rPr>
              <w:t>R3.0</w:t>
            </w:r>
          </w:p>
        </w:tc>
        <w:tc>
          <w:tcPr>
            <w:tcW w:type="dxa" w:w="1152"/>
          </w:tcPr>
          <w:p>
            <w:r>
              <w:rPr>
                <w:sz w:val="20"/>
              </w:rPr>
              <w:t>v2.6.0</w:t>
            </w:r>
          </w:p>
        </w:tc>
        <w:tc>
          <w:tcPr>
            <w:tcW w:type="dxa" w:w="1584"/>
          </w:tcPr>
          <w:p>
            <w:r>
              <w:rPr>
                <w:sz w:val="20"/>
              </w:rPr>
              <w:t>Sep 10, 2026</w:t>
            </w:r>
          </w:p>
        </w:tc>
        <w:tc>
          <w:tcPr>
            <w:tcW w:type="dxa" w:w="4320"/>
          </w:tcPr>
          <w:p>
            <w:r>
              <w:rPr>
                <w:sz w:val="20"/>
              </w:rPr>
              <w:t>Price and volume alerts (email/Slack); shared watchlists; research note attachments; role-based access control</w:t>
            </w:r>
          </w:p>
        </w:tc>
        <w:tc>
          <w:tcPr>
            <w:tcW w:type="dxa" w:w="1440"/>
          </w:tcPr>
          <w:p>
            <w:r>
              <w:rPr>
                <w:b/>
                <w:color w:val="2E7D32"/>
                <w:sz w:val="20"/>
              </w:rPr>
              <w:t>Released</w:t>
            </w:r>
          </w:p>
        </w:tc>
      </w:tr>
      <w:tr>
        <w:tc>
          <w:tcPr>
            <w:tcW w:type="dxa" w:w="1296"/>
            <w:shd w:val="clear" w:fill="DCE6F1"/>
          </w:tcPr>
          <w:p>
            <w:r>
              <w:rPr>
                <w:sz w:val="20"/>
              </w:rPr>
              <w:t>R3.1</w:t>
            </w:r>
          </w:p>
        </w:tc>
        <w:tc>
          <w:tcPr>
            <w:tcW w:type="dxa" w:w="1152"/>
            <w:shd w:val="clear" w:fill="DCE6F1"/>
          </w:tcPr>
          <w:p>
            <w:r>
              <w:rPr>
                <w:sz w:val="20"/>
              </w:rPr>
              <w:t>v2.6.1</w:t>
            </w:r>
          </w:p>
        </w:tc>
        <w:tc>
          <w:tcPr>
            <w:tcW w:type="dxa" w:w="1584"/>
            <w:shd w:val="clear" w:fill="DCE6F1"/>
          </w:tcPr>
          <w:p>
            <w:r>
              <w:rPr>
                <w:sz w:val="20"/>
              </w:rPr>
              <w:t>Oct 1, 2026</w:t>
            </w:r>
          </w:p>
        </w:tc>
        <w:tc>
          <w:tcPr>
            <w:tcW w:type="dxa" w:w="4320"/>
            <w:shd w:val="clear" w:fill="DCE6F1"/>
          </w:tcPr>
          <w:p>
            <w:r>
              <w:rPr>
                <w:sz w:val="20"/>
              </w:rPr>
              <w:t>Stabilization patch: alert delivery retries, permissions edge cases</w:t>
            </w:r>
          </w:p>
        </w:tc>
        <w:tc>
          <w:tcPr>
            <w:tcW w:type="dxa" w:w="1440"/>
            <w:shd w:val="clear" w:fill="DCE6F1"/>
          </w:tcPr>
          <w:p>
            <w:r>
              <w:rPr>
                <w:b/>
                <w:color w:val="E67E22"/>
                <w:sz w:val="20"/>
              </w:rPr>
              <w:t>In Progress</w:t>
            </w:r>
          </w:p>
        </w:tc>
      </w:tr>
    </w:tbl>
    <w:p/>
    <w:p>
      <w:pPr>
        <w:pStyle w:val="Heading2"/>
      </w:pPr>
      <w:r>
        <w:rPr>
          <w:color w:val="1F4E79"/>
        </w:rPr>
        <w:t>Q4 2026 — Intelligence &amp; Scale</w:t>
      </w:r>
    </w:p>
    <w:p>
      <w:pPr>
        <w:spacing w:after="120"/>
      </w:pPr>
      <w:r>
        <w:t>Theme: automated insights and platform scalability.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1F4E79"/>
          </w:tcPr>
          <w:p>
            <w:r>
              <w:rPr>
                <w:b/>
                <w:color w:val="FFFFFF"/>
                <w:sz w:val="20"/>
              </w:rPr>
              <w:t>Release</w:t>
            </w:r>
          </w:p>
        </w:tc>
        <w:tc>
          <w:tcPr>
            <w:tcW w:type="dxa" w:w="1152"/>
            <w:shd w:val="clear" w:fill="1F4E79"/>
          </w:tcPr>
          <w:p>
            <w:r>
              <w:rPr>
                <w:b/>
                <w:color w:val="FFFFFF"/>
                <w:sz w:val="20"/>
              </w:rPr>
              <w:t>Version</w:t>
            </w:r>
          </w:p>
        </w:tc>
        <w:tc>
          <w:tcPr>
            <w:tcW w:type="dxa" w:w="1584"/>
            <w:shd w:val="clear" w:fill="1F4E79"/>
          </w:tcPr>
          <w:p>
            <w:r>
              <w:rPr>
                <w:b/>
                <w:color w:val="FFFFFF"/>
                <w:sz w:val="20"/>
              </w:rPr>
              <w:t>Target Date</w:t>
            </w:r>
          </w:p>
        </w:tc>
        <w:tc>
          <w:tcPr>
            <w:tcW w:type="dxa" w:w="4320"/>
            <w:shd w:val="clear" w:fill="1F4E79"/>
          </w:tcPr>
          <w:p>
            <w:r>
              <w:rPr>
                <w:b/>
                <w:color w:val="FFFFFF"/>
                <w:sz w:val="20"/>
              </w:rPr>
              <w:t>Key Deliverables</w:t>
            </w:r>
          </w:p>
        </w:tc>
        <w:tc>
          <w:tcPr>
            <w:tcW w:type="dxa" w:w="1440"/>
            <w:shd w:val="clear" w:fill="1F4E79"/>
          </w:tcPr>
          <w:p>
            <w:r>
              <w:rPr>
                <w:b/>
                <w:color w:val="FFFFFF"/>
                <w:sz w:val="20"/>
              </w:rPr>
              <w:t>Status</w:t>
            </w:r>
          </w:p>
        </w:tc>
      </w:tr>
      <w:tr>
        <w:tc>
          <w:tcPr>
            <w:tcW w:type="dxa" w:w="1296"/>
          </w:tcPr>
          <w:p>
            <w:r>
              <w:rPr>
                <w:sz w:val="20"/>
              </w:rPr>
              <w:t>R4.0</w:t>
            </w:r>
          </w:p>
        </w:tc>
        <w:tc>
          <w:tcPr>
            <w:tcW w:type="dxa" w:w="1152"/>
          </w:tcPr>
          <w:p>
            <w:r>
              <w:rPr>
                <w:sz w:val="20"/>
              </w:rPr>
              <w:t>v2.7.0</w:t>
            </w:r>
          </w:p>
        </w:tc>
        <w:tc>
          <w:tcPr>
            <w:tcW w:type="dxa" w:w="1584"/>
          </w:tcPr>
          <w:p>
            <w:r>
              <w:rPr>
                <w:sz w:val="20"/>
              </w:rPr>
              <w:t>Dec 10, 2026</w:t>
            </w:r>
          </w:p>
        </w:tc>
        <w:tc>
          <w:tcPr>
            <w:tcW w:type="dxa" w:w="4320"/>
          </w:tcPr>
          <w:p>
            <w:r>
              <w:rPr>
                <w:sz w:val="20"/>
              </w:rPr>
              <w:t>AI-assisted research summaries; anomaly detection on holdings; API v2 for external integrations; dark mode</w:t>
            </w:r>
          </w:p>
        </w:tc>
        <w:tc>
          <w:tcPr>
            <w:tcW w:type="dxa" w:w="1440"/>
          </w:tcPr>
          <w:p>
            <w:r>
              <w:rPr>
                <w:b/>
                <w:color w:val="606060"/>
                <w:sz w:val="20"/>
              </w:rPr>
              <w:t>Planned</w:t>
            </w:r>
          </w:p>
        </w:tc>
      </w:tr>
      <w:tr>
        <w:tc>
          <w:tcPr>
            <w:tcW w:type="dxa" w:w="1296"/>
            <w:shd w:val="clear" w:fill="DCE6F1"/>
          </w:tcPr>
          <w:p>
            <w:r>
              <w:rPr>
                <w:sz w:val="20"/>
              </w:rPr>
              <w:t>R4.1</w:t>
            </w:r>
          </w:p>
        </w:tc>
        <w:tc>
          <w:tcPr>
            <w:tcW w:type="dxa" w:w="1152"/>
            <w:shd w:val="clear" w:fill="DCE6F1"/>
          </w:tcPr>
          <w:p>
            <w:r>
              <w:rPr>
                <w:sz w:val="20"/>
              </w:rPr>
              <w:t>v2.7.1</w:t>
            </w:r>
          </w:p>
        </w:tc>
        <w:tc>
          <w:tcPr>
            <w:tcW w:type="dxa" w:w="1584"/>
            <w:shd w:val="clear" w:fill="DCE6F1"/>
          </w:tcPr>
          <w:p>
            <w:r>
              <w:rPr>
                <w:sz w:val="20"/>
              </w:rPr>
              <w:t>Dec 22, 2026</w:t>
            </w:r>
          </w:p>
        </w:tc>
        <w:tc>
          <w:tcPr>
            <w:tcW w:type="dxa" w:w="4320"/>
            <w:shd w:val="clear" w:fill="DCE6F1"/>
          </w:tcPr>
          <w:p>
            <w:r>
              <w:rPr>
                <w:sz w:val="20"/>
              </w:rPr>
              <w:t>Stabilization patch: year-end close support, API hardening</w:t>
            </w:r>
          </w:p>
        </w:tc>
        <w:tc>
          <w:tcPr>
            <w:tcW w:type="dxa" w:w="1440"/>
            <w:shd w:val="clear" w:fill="DCE6F1"/>
          </w:tcPr>
          <w:p>
            <w:r>
              <w:rPr>
                <w:b/>
                <w:color w:val="606060"/>
                <w:sz w:val="20"/>
              </w:rPr>
              <w:t>Planned</w:t>
            </w:r>
          </w:p>
        </w:tc>
      </w:tr>
    </w:tbl>
    <w:p/>
    <w:p>
      <w:pPr>
        <w:pStyle w:val="Heading1"/>
      </w:pPr>
      <w:r>
        <w:rPr>
          <w:color w:val="1F4E79"/>
        </w:rPr>
        <w:t>3. Key Milestones</w:t>
      </w:r>
    </w:p>
    <w:tbl>
      <w:tblPr>
        <w:tblStyle w:val="TableGrid"/>
        <w:tblW w:type="auto" w:w="0"/>
        <w:tblLook w:firstColumn="1" w:firstRow="1" w:lastColumn="0" w:lastRow="0" w:noHBand="0" w:noVBand="1" w:val="04A0"/>
      </w:tblPr>
      <w:tblGrid>
        <w:gridCol w:w="4320"/>
        <w:gridCol w:w="4320"/>
      </w:tblGrid>
      <w:tr>
        <w:tc>
          <w:tcPr>
            <w:tcW w:type="dxa" w:w="2016"/>
            <w:shd w:val="clear" w:fill="1F4E79"/>
          </w:tcPr>
          <w:p>
            <w:r>
              <w:rPr>
                <w:b/>
                <w:color w:val="FFFFFF"/>
                <w:sz w:val="20"/>
              </w:rPr>
              <w:t>Date</w:t>
            </w:r>
          </w:p>
        </w:tc>
        <w:tc>
          <w:tcPr>
            <w:tcW w:type="dxa" w:w="7776"/>
            <w:shd w:val="clear" w:fill="1F4E79"/>
          </w:tcPr>
          <w:p>
            <w:r>
              <w:rPr>
                <w:b/>
                <w:color w:val="FFFFFF"/>
                <w:sz w:val="20"/>
              </w:rPr>
              <w:t>Milestone</w:t>
            </w:r>
          </w:p>
        </w:tc>
      </w:tr>
      <w:tr>
        <w:tc>
          <w:tcPr>
            <w:tcW w:type="dxa" w:w="2016"/>
          </w:tcPr>
          <w:p>
            <w:r>
              <w:rPr>
                <w:sz w:val="20"/>
              </w:rPr>
              <w:t>Feb 20, 2026</w:t>
            </w:r>
          </w:p>
        </w:tc>
        <w:tc>
          <w:tcPr>
            <w:tcW w:type="dxa" w:w="7776"/>
          </w:tcPr>
          <w:p>
            <w:r>
              <w:rPr>
                <w:sz w:val="20"/>
              </w:rPr>
              <w:t>Q1 feature freeze and start of regression testing</w:t>
            </w:r>
          </w:p>
        </w:tc>
      </w:tr>
      <w:tr>
        <w:tc>
          <w:tcPr>
            <w:tcW w:type="dxa" w:w="2016"/>
            <w:shd w:val="clear" w:fill="DCE6F1"/>
          </w:tcPr>
          <w:p>
            <w:r>
              <w:rPr>
                <w:sz w:val="20"/>
              </w:rPr>
              <w:t>May 22, 2026</w:t>
            </w:r>
          </w:p>
        </w:tc>
        <w:tc>
          <w:tcPr>
            <w:tcW w:type="dxa" w:w="7776"/>
            <w:shd w:val="clear" w:fill="DCE6F1"/>
          </w:tcPr>
          <w:p>
            <w:r>
              <w:rPr>
                <w:sz w:val="20"/>
              </w:rPr>
              <w:t>Q2 feature freeze; screener beta opens to pilot users</w:t>
            </w:r>
          </w:p>
        </w:tc>
      </w:tr>
      <w:tr>
        <w:tc>
          <w:tcPr>
            <w:tcW w:type="dxa" w:w="2016"/>
          </w:tcPr>
          <w:p>
            <w:r>
              <w:rPr>
                <w:sz w:val="20"/>
              </w:rPr>
              <w:t>Aug 21, 2026</w:t>
            </w:r>
          </w:p>
        </w:tc>
        <w:tc>
          <w:tcPr>
            <w:tcW w:type="dxa" w:w="7776"/>
          </w:tcPr>
          <w:p>
            <w:r>
              <w:rPr>
                <w:sz w:val="20"/>
              </w:rPr>
              <w:t>Q3 feature freeze; alerts load test at 10x volume</w:t>
            </w:r>
          </w:p>
        </w:tc>
      </w:tr>
      <w:tr>
        <w:tc>
          <w:tcPr>
            <w:tcW w:type="dxa" w:w="2016"/>
            <w:shd w:val="clear" w:fill="DCE6F1"/>
          </w:tcPr>
          <w:p>
            <w:r>
              <w:rPr>
                <w:sz w:val="20"/>
              </w:rPr>
              <w:t>Nov 20, 2026</w:t>
            </w:r>
          </w:p>
        </w:tc>
        <w:tc>
          <w:tcPr>
            <w:tcW w:type="dxa" w:w="7776"/>
            <w:shd w:val="clear" w:fill="DCE6F1"/>
          </w:tcPr>
          <w:p>
            <w:r>
              <w:rPr>
                <w:sz w:val="20"/>
              </w:rPr>
              <w:t>Q4 feature freeze; AI summary accuracy review</w:t>
            </w:r>
          </w:p>
        </w:tc>
      </w:tr>
      <w:tr>
        <w:tc>
          <w:tcPr>
            <w:tcW w:type="dxa" w:w="2016"/>
          </w:tcPr>
          <w:p>
            <w:r>
              <w:rPr>
                <w:sz w:val="20"/>
              </w:rPr>
              <w:t>Dec 31, 2026</w:t>
            </w:r>
          </w:p>
        </w:tc>
        <w:tc>
          <w:tcPr>
            <w:tcW w:type="dxa" w:w="7776"/>
          </w:tcPr>
          <w:p>
            <w:r>
              <w:rPr>
                <w:sz w:val="20"/>
              </w:rPr>
              <w:t>2027 roadmap finalized and published</w:t>
            </w:r>
          </w:p>
        </w:tc>
      </w:tr>
    </w:tbl>
    <w:p/>
    <w:p>
      <w:pPr>
        <w:pStyle w:val="Heading1"/>
      </w:pPr>
      <w:r>
        <w:rPr>
          <w:color w:val="1F4E79"/>
        </w:rPr>
        <w:t>4. Release Process</w:t>
      </w:r>
    </w:p>
    <w:p>
      <w:pPr>
        <w:pStyle w:val="ListNumber"/>
      </w:pPr>
      <w:r>
        <w:t>Feature freeze occurs three weeks before each major release date; only bug fixes are merged after freeze.</w:t>
      </w:r>
    </w:p>
    <w:p>
      <w:pPr>
        <w:pStyle w:val="ListNumber"/>
      </w:pPr>
      <w:r>
        <w:t>Release candidates are deployed to staging for a two-week QA and UAT cycle, including market-data replay testing.</w:t>
      </w:r>
    </w:p>
    <w:p>
      <w:pPr>
        <w:pStyle w:val="ListNumber"/>
      </w:pPr>
      <w:r>
        <w:t>Go/no-go review is held two business days before the target date with Product, Engineering, and Research stakeholders.</w:t>
      </w:r>
    </w:p>
    <w:p>
      <w:pPr>
        <w:pStyle w:val="ListNumber"/>
      </w:pPr>
      <w:r>
        <w:t>Production deployments occur outside U.S. market hours (after 5:00 PM ET), with a rollback plan validated in staging.</w:t>
      </w:r>
    </w:p>
    <w:p>
      <w:pPr>
        <w:pStyle w:val="ListNumber"/>
      </w:pPr>
      <w:r>
        <w:t>A stabilization patch is scheduled roughly three weeks after each major release to address issues found in production.</w:t>
      </w:r>
    </w:p>
    <w:p>
      <w:pPr>
        <w:pStyle w:val="Heading1"/>
      </w:pPr>
      <w:r>
        <w:rPr>
          <w:color w:val="1F4E79"/>
        </w:rPr>
        <w:t>5.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Pr>
                <w:b/>
                <w:color w:val="FFFFFF"/>
                <w:sz w:val="20"/>
              </w:rPr>
              <w:t>Version</w:t>
            </w:r>
          </w:p>
        </w:tc>
        <w:tc>
          <w:tcPr>
            <w:tcW w:type="dxa" w:w="2160"/>
            <w:shd w:val="clear" w:fill="1F4E79"/>
          </w:tcPr>
          <w:p>
            <w:r>
              <w:rPr>
                <w:b/>
                <w:color w:val="FFFFFF"/>
                <w:sz w:val="20"/>
              </w:rPr>
              <w:t>Date</w:t>
            </w:r>
          </w:p>
        </w:tc>
        <w:tc>
          <w:tcPr>
            <w:tcW w:type="dxa" w:w="2160"/>
            <w:shd w:val="clear" w:fill="1F4E79"/>
          </w:tcPr>
          <w:p>
            <w:r>
              <w:rPr>
                <w:b/>
                <w:color w:val="FFFFFF"/>
                <w:sz w:val="20"/>
              </w:rPr>
              <w:t>Author</w:t>
            </w:r>
          </w:p>
        </w:tc>
        <w:tc>
          <w:tcPr>
            <w:tcW w:type="dxa" w:w="2160"/>
            <w:shd w:val="clear" w:fill="1F4E79"/>
          </w:tcPr>
          <w:p>
            <w:r>
              <w:rPr>
                <w:b/>
                <w:color w:val="FFFFFF"/>
                <w:sz w:val="20"/>
              </w:rPr>
              <w:t>Changes</w:t>
            </w:r>
          </w:p>
        </w:tc>
      </w:tr>
      <w:tr>
        <w:tc>
          <w:tcPr>
            <w:tcW w:type="dxa" w:w="2160"/>
          </w:tcPr>
          <w:p>
            <w:r>
              <w:rPr>
                <w:sz w:val="20"/>
              </w:rPr>
              <w:t>1.0</w:t>
            </w:r>
          </w:p>
        </w:tc>
        <w:tc>
          <w:tcPr>
            <w:tcW w:type="dxa" w:w="2160"/>
          </w:tcPr>
          <w:p>
            <w:r>
              <w:rPr>
                <w:sz w:val="20"/>
              </w:rPr>
              <w:t>Sep 15, 2026</w:t>
            </w:r>
          </w:p>
        </w:tc>
        <w:tc>
          <w:tcPr>
            <w:tcW w:type="dxa" w:w="2160"/>
          </w:tcPr>
          <w:p>
            <w:r>
              <w:rPr>
                <w:sz w:val="20"/>
              </w:rPr>
              <w:t>Product Management</w:t>
            </w:r>
          </w:p>
        </w:tc>
        <w:tc>
          <w:tcPr>
            <w:tcW w:type="dxa" w:w="2160"/>
          </w:tcPr>
          <w:p>
            <w:r>
              <w:rPr>
                <w:sz w:val="20"/>
              </w:rPr>
              <w:t>Initial approved schedule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