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91628">
      <w:pPr>
        <w:spacing w:after="40"/>
        <w:jc w:val="center"/>
      </w:pPr>
      <w:r>
        <w:rPr>
          <w:b/>
          <w:bCs/>
          <w:color w:val="1F4E5F"/>
          <w:sz w:val="40"/>
          <w:szCs w:val="40"/>
        </w:rPr>
        <w:t>T0</w:t>
      </w:r>
      <w:r>
        <w:rPr>
          <w:rFonts w:hint="default"/>
          <w:b/>
          <w:bCs/>
          <w:color w:val="1F4E5F"/>
          <w:sz w:val="40"/>
          <w:szCs w:val="40"/>
          <w:lang w:val="en-US"/>
        </w:rPr>
        <w:t>7</w:t>
      </w:r>
      <w:bookmarkStart w:id="0" w:name="_GoBack"/>
      <w:bookmarkEnd w:id="0"/>
      <w:r>
        <w:rPr>
          <w:b/>
          <w:bCs/>
          <w:color w:val="1F4E5F"/>
          <w:sz w:val="40"/>
          <w:szCs w:val="40"/>
        </w:rPr>
        <w:t xml:space="preserve"> — Telemetry &amp; Detection</w:t>
      </w:r>
    </w:p>
    <w:p w14:paraId="50E71CD9"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>Technical Reference: Visibility, Detection Sources &amp; Detection Engineering</w:t>
      </w:r>
    </w:p>
    <w:p w14:paraId="3D278F16">
      <w:pPr>
        <w:pStyle w:val="2"/>
        <w:pBdr>
          <w:bottom w:val="single" w:color="1F4E5F" w:sz="8" w:space="4"/>
        </w:pBdr>
        <w:spacing w:before="300" w:after="120"/>
      </w:pPr>
      <w:r>
        <w:rPr>
          <w:b/>
          <w:bCs/>
          <w:color w:val="1F4E5F"/>
          <w:sz w:val="30"/>
          <w:szCs w:val="30"/>
        </w:rPr>
        <w:t>Level 1 — Visibility Foundations</w:t>
      </w:r>
    </w:p>
    <w:p w14:paraId="0F0992EB">
      <w:pPr>
        <w:spacing w:after="100"/>
      </w:pPr>
      <w:r>
        <w:rPr>
          <w:i/>
          <w:iCs/>
          <w:sz w:val="20"/>
          <w:szCs w:val="20"/>
        </w:rPr>
        <w:t>Visibility is the prerequisite for detection: a control that isn't observed can't be alerted on. This level defines the raw building blocks of security visibility.</w:t>
      </w:r>
    </w:p>
    <w:p w14:paraId="119C46EA">
      <w:pPr>
        <w:spacing w:before="160" w:after="40"/>
      </w:pPr>
      <w:r>
        <w:rPr>
          <w:b/>
          <w:bCs/>
          <w:sz w:val="22"/>
          <w:szCs w:val="22"/>
        </w:rPr>
        <w:t>Logs</w:t>
      </w:r>
    </w:p>
    <w:p w14:paraId="23830E06">
      <w:pPr>
        <w:spacing w:after="60"/>
      </w:pPr>
      <w:r>
        <w:rPr>
          <w:sz w:val="20"/>
          <w:szCs w:val="20"/>
        </w:rPr>
        <w:t>A log is a timestamped record of a discrete event emitted by an OS, application, or device — e.g. a line in /var/log/auth.log or a Windows Event ID 4624.</w:t>
      </w:r>
    </w:p>
    <w:p w14:paraId="672D7275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140EDBDF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Structure varies: syslog (RFC 5424) is text-based; Windows Event Log (.evtx) is binary/XML; cloud logs are usually JSON.</w:t>
      </w:r>
    </w:p>
    <w:p w14:paraId="11DD0C3B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Retention matters more than volume — attackers dwell 20+ days on average, so logs must outlive that window.</w:t>
      </w:r>
    </w:p>
    <w:p w14:paraId="480F9555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 log without a consistent timestamp/timezone (UTC) breaks correlation across sources.</w:t>
      </w:r>
    </w:p>
    <w:p w14:paraId="5F314113">
      <w:pPr>
        <w:spacing w:before="160" w:after="40"/>
      </w:pPr>
      <w:r>
        <w:rPr>
          <w:b/>
          <w:bCs/>
          <w:sz w:val="22"/>
          <w:szCs w:val="22"/>
        </w:rPr>
        <w:t>Events</w:t>
      </w:r>
    </w:p>
    <w:p w14:paraId="015C4A20">
      <w:pPr>
        <w:spacing w:after="60"/>
      </w:pPr>
      <w:r>
        <w:rPr>
          <w:sz w:val="20"/>
          <w:szCs w:val="20"/>
        </w:rPr>
        <w:t>An event is the interpreted, structured form of a log entry — the 'what happened' extracted from raw text (e.g. process_created, logon_failed, file_deleted).</w:t>
      </w:r>
    </w:p>
    <w:p w14:paraId="6D32D6B8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48250C4F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One log line can map to multiple events (e.g. a single Sysmon EventID 1 yields process, parent-process, and hash events).</w:t>
      </w:r>
    </w:p>
    <w:p w14:paraId="33E3105C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Normalization schemas (OSSEM, ECS, OCSF) map vendor-specific fields to common event names so rules work across sources.</w:t>
      </w:r>
    </w:p>
    <w:p w14:paraId="1477A8AB">
      <w:pPr>
        <w:spacing w:before="160" w:after="40"/>
      </w:pPr>
      <w:r>
        <w:rPr>
          <w:b/>
          <w:bCs/>
          <w:sz w:val="22"/>
          <w:szCs w:val="22"/>
        </w:rPr>
        <w:t>Telemetry</w:t>
      </w:r>
    </w:p>
    <w:p w14:paraId="1C1D07B2">
      <w:pPr>
        <w:spacing w:after="60"/>
      </w:pPr>
      <w:r>
        <w:rPr>
          <w:sz w:val="20"/>
          <w:szCs w:val="20"/>
        </w:rPr>
        <w:t>Telemetry is continuous, automated data collection from endpoints, network, and cloud — broader than logs; includes process trees, memory snapshots, and API call traces.</w:t>
      </w:r>
    </w:p>
    <w:p w14:paraId="45D9535B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350175F4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EDR telemetry (e.g. process ancestry, DLL loads) is far richer than native OS logs and is the primary source for behavioral detections.</w:t>
      </w:r>
    </w:p>
    <w:p w14:paraId="60043900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High-fidelity telemetry (full command-line, parent-child chains) is what separates a SOC that can hunt from one that can only alert.</w:t>
      </w:r>
    </w:p>
    <w:p w14:paraId="53132CB3">
      <w:pPr>
        <w:spacing w:before="160" w:after="40"/>
      </w:pPr>
      <w:r>
        <w:rPr>
          <w:b/>
          <w:bCs/>
          <w:sz w:val="22"/>
          <w:szCs w:val="22"/>
        </w:rPr>
        <w:t>Monitoring</w:t>
      </w:r>
    </w:p>
    <w:p w14:paraId="0F7498ED">
      <w:pPr>
        <w:spacing w:after="60"/>
      </w:pPr>
      <w:r>
        <w:rPr>
          <w:sz w:val="20"/>
          <w:szCs w:val="20"/>
        </w:rPr>
        <w:t>Monitoring is the ongoing, real-time observation of systems/logs to detect deviations from expected state — the operational process that consumes telemetry.</w:t>
      </w:r>
    </w:p>
    <w:p w14:paraId="752B475D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39687EF0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Split into availability monitoring (uptime, CPU) vs security monitoring (auth failures, lateral movement) — SOCs focus on the latter.</w:t>
      </w:r>
    </w:p>
    <w:p w14:paraId="5B155308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24x7 monitoring requires either a follow-the-sun SOC or automated alerting with on-call escalation.</w:t>
      </w:r>
    </w:p>
    <w:p w14:paraId="4092C212">
      <w:pPr>
        <w:spacing w:before="160" w:after="40"/>
      </w:pPr>
      <w:r>
        <w:rPr>
          <w:b/>
          <w:bCs/>
          <w:sz w:val="22"/>
          <w:szCs w:val="22"/>
        </w:rPr>
        <w:t>Auditing</w:t>
      </w:r>
    </w:p>
    <w:p w14:paraId="69228E2F">
      <w:pPr>
        <w:spacing w:after="60"/>
      </w:pPr>
      <w:r>
        <w:rPr>
          <w:sz w:val="20"/>
          <w:szCs w:val="20"/>
        </w:rPr>
        <w:t>Auditing is the deliberate, policy-driven recording of specific actions (e.g. Windows Audit Policy, Linux auditd rules) for compliance and forensic reconstruction.</w:t>
      </w:r>
    </w:p>
    <w:p w14:paraId="693152C0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6088D29D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Windows: 'Audit Process Creation' + 'Include command line in process creation events' (GPO) must both be enabled — a very common gap.</w:t>
      </w:r>
    </w:p>
    <w:p w14:paraId="50BB6468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Linux auditd rules (e.g. -w /etc/passwd -p wa) are explicit watch rules; without them, file changes are invisible.</w:t>
      </w:r>
    </w:p>
    <w:p w14:paraId="01B1B474">
      <w:pPr>
        <w:spacing w:before="160" w:after="40"/>
      </w:pPr>
      <w:r>
        <w:rPr>
          <w:b/>
          <w:bCs/>
          <w:sz w:val="22"/>
          <w:szCs w:val="22"/>
        </w:rPr>
        <w:t>Alerting</w:t>
      </w:r>
    </w:p>
    <w:p w14:paraId="49B368CA">
      <w:pPr>
        <w:spacing w:after="60"/>
      </w:pPr>
      <w:r>
        <w:rPr>
          <w:sz w:val="20"/>
          <w:szCs w:val="20"/>
        </w:rPr>
        <w:t>Alerting is the automated notification triggered when telemetry matches a defined condition (threshold, signature, or behavioral rule).</w:t>
      </w:r>
    </w:p>
    <w:p w14:paraId="4B924DE8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4E2349F0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Alert fatigue is the #1 SOC failure mode — industry benchmarks show analysts triage only 40–60% of daily alerts effectively.</w:t>
      </w:r>
    </w:p>
    <w:p w14:paraId="0F651C0A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Every alert should map to a documented response action (runbook); an alert with no action is noise.</w:t>
      </w:r>
    </w:p>
    <w:p w14:paraId="662B38E6">
      <w:pPr>
        <w:spacing w:before="160" w:after="40"/>
      </w:pPr>
      <w:r>
        <w:rPr>
          <w:b/>
          <w:bCs/>
          <w:sz w:val="22"/>
          <w:szCs w:val="22"/>
        </w:rPr>
        <w:t>Threat Indicators</w:t>
      </w:r>
    </w:p>
    <w:p w14:paraId="4802841D">
      <w:pPr>
        <w:spacing w:after="60"/>
      </w:pPr>
      <w:r>
        <w:rPr>
          <w:sz w:val="20"/>
          <w:szCs w:val="20"/>
        </w:rPr>
        <w:t>Indicators (IOCs) are observable artifacts of compromise: hashes, IPs, domains, registry keys, mutexes.</w:t>
      </w:r>
    </w:p>
    <w:p w14:paraId="411D07B4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4B62B76D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IOCs are brittle — an attacker changes an IP/hash instantly, which is why Level 3 shifts focus to TTPs (behavior) over IOCs.</w:t>
      </w:r>
    </w:p>
    <w:p w14:paraId="687FE101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Feeds (OTX, MISP, commercial TI) must be scored/aged — a 2-year-old IP indicator has near-zero detection value.</w:t>
      </w:r>
    </w:p>
    <w:p w14:paraId="0BB1647A">
      <w:pPr>
        <w:spacing w:before="160" w:after="40"/>
      </w:pPr>
      <w:r>
        <w:rPr>
          <w:b/>
          <w:bCs/>
          <w:sz w:val="22"/>
          <w:szCs w:val="22"/>
        </w:rPr>
        <w:t>Security Operations</w:t>
      </w:r>
    </w:p>
    <w:p w14:paraId="125CF4F6">
      <w:pPr>
        <w:spacing w:after="60"/>
      </w:pPr>
      <w:r>
        <w:rPr>
          <w:sz w:val="20"/>
          <w:szCs w:val="20"/>
        </w:rPr>
        <w:t>The people, process, and tooling (SOC) that consume telemetry, triage alerts, and drive incident response end-to-end.</w:t>
      </w:r>
    </w:p>
    <w:p w14:paraId="14CCCB20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3F0ED57C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Standard tiering: Tier 1 (triage) → Tier 2 (investigation) → Tier 3 (hunting/engineering) → IR team for confirmed incidents.</w:t>
      </w:r>
    </w:p>
    <w:p w14:paraId="2956E243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MTTD (mean time to detect) and MTTR (mean time to respond) are the core KPIs used to measure SOC maturity.</w:t>
      </w:r>
    </w:p>
    <w:p w14:paraId="0A14A305">
      <w:pPr>
        <w:spacing w:before="160" w:after="40"/>
      </w:pPr>
      <w:r>
        <w:rPr>
          <w:b/>
          <w:bCs/>
          <w:sz w:val="22"/>
          <w:szCs w:val="22"/>
        </w:rPr>
        <w:t>Asset Visibility</w:t>
      </w:r>
    </w:p>
    <w:p w14:paraId="10C28411">
      <w:pPr>
        <w:spacing w:after="60"/>
      </w:pPr>
      <w:r>
        <w:rPr>
          <w:sz w:val="20"/>
          <w:szCs w:val="20"/>
        </w:rPr>
        <w:t>Knowing what exists (hosts, cloud instances, identities, apps) — you cannot monitor an asset your telemetry pipeline doesn't know about.</w:t>
      </w:r>
    </w:p>
    <w:p w14:paraId="234B8F0F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1D5D9FE5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Shadow IT and unmanaged BYOD devices are consistently the top blind spot in breach post-mortems.</w:t>
      </w:r>
    </w:p>
    <w:p w14:paraId="3E3D5C07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CMDB/asset inventory should reconcile automatically against EDR agent counts to flag unmonitored endpoints.</w:t>
      </w:r>
    </w:p>
    <w:p w14:paraId="3B9D5D79">
      <w:pPr>
        <w:spacing w:before="160" w:after="40"/>
      </w:pPr>
      <w:r>
        <w:rPr>
          <w:b/>
          <w:bCs/>
          <w:sz w:val="22"/>
          <w:szCs w:val="22"/>
        </w:rPr>
        <w:t>Detection Fundamentals</w:t>
      </w:r>
    </w:p>
    <w:p w14:paraId="07D9A714">
      <w:pPr>
        <w:spacing w:after="60"/>
      </w:pPr>
      <w:r>
        <w:rPr>
          <w:sz w:val="20"/>
          <w:szCs w:val="20"/>
        </w:rPr>
        <w:t>The baseline principle: detection = telemetry + logic + context. Missing any one of the three produces either blind spots or false positives.</w:t>
      </w:r>
    </w:p>
    <w:p w14:paraId="4CC8171B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618961CB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Coverage should be measured against a framework (e.g. MITRE ATT&amp;CK Navigator heatmap), not by alert count alone.</w:t>
      </w:r>
    </w:p>
    <w:p w14:paraId="7316C1DE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'Assume breach' posture treats detection as continuous, not a one-time deployment checkbox.</w:t>
      </w:r>
    </w:p>
    <w:p w14:paraId="4A90C988">
      <w:r>
        <w:br w:type="page"/>
      </w:r>
    </w:p>
    <w:p w14:paraId="390F5D03">
      <w:pPr>
        <w:pStyle w:val="2"/>
        <w:pBdr>
          <w:bottom w:val="single" w:color="1F4E5F" w:sz="8" w:space="4"/>
        </w:pBdr>
        <w:spacing w:before="300" w:after="120"/>
      </w:pPr>
      <w:r>
        <w:rPr>
          <w:b/>
          <w:bCs/>
          <w:color w:val="1F4E5F"/>
          <w:sz w:val="30"/>
          <w:szCs w:val="30"/>
        </w:rPr>
        <w:t>Level 2 — Detection Sources</w:t>
      </w:r>
    </w:p>
    <w:p w14:paraId="3D745524">
      <w:pPr>
        <w:spacing w:after="100"/>
      </w:pPr>
      <w:r>
        <w:rPr>
          <w:i/>
          <w:iCs/>
          <w:sz w:val="20"/>
          <w:szCs w:val="20"/>
        </w:rPr>
        <w:t>Each source has a distinct data shape, blind spot, and tooling ecosystem. Detection engineering quality depends on knowing what each source can and cannot see.</w:t>
      </w:r>
    </w:p>
    <w:p w14:paraId="3059E0F6">
      <w:pPr>
        <w:spacing w:before="160" w:after="40"/>
      </w:pPr>
      <w:r>
        <w:rPr>
          <w:b/>
          <w:bCs/>
          <w:sz w:val="22"/>
          <w:szCs w:val="22"/>
        </w:rPr>
        <w:t>Windows Logs</w:t>
      </w:r>
    </w:p>
    <w:p w14:paraId="40BA3D98">
      <w:pPr>
        <w:spacing w:after="60"/>
      </w:pPr>
      <w:r>
        <w:rPr>
          <w:sz w:val="20"/>
          <w:szCs w:val="20"/>
        </w:rPr>
        <w:t>Native Event Log channels (Security, System, Application) accessed via Event Viewer or wevtutil; core IDs: 4624 (logon), 4625 (failed logon), 4688 (process creation), 4720 (user created).</w:t>
      </w:r>
    </w:p>
    <w:p w14:paraId="180B9CFD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2C4B4ED7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Default audit policy is too sparse for detection — apply Microsoft's 'security baseline' GPO before relying on it.</w:t>
      </w:r>
    </w:p>
    <w:p w14:paraId="03CDEF25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Event ID 4688 alone (no Sysmon) lacks hashes and network connections — a major limitation for malware detection.</w:t>
      </w:r>
    </w:p>
    <w:p w14:paraId="3BDAF367">
      <w:pPr>
        <w:spacing w:before="160" w:after="40"/>
      </w:pPr>
      <w:r>
        <w:rPr>
          <w:b/>
          <w:bCs/>
          <w:sz w:val="22"/>
          <w:szCs w:val="22"/>
        </w:rPr>
        <w:t>Linux Logs</w:t>
      </w:r>
    </w:p>
    <w:p w14:paraId="4D720C80">
      <w:pPr>
        <w:spacing w:after="60"/>
      </w:pPr>
      <w:r>
        <w:rPr>
          <w:sz w:val="20"/>
          <w:szCs w:val="20"/>
        </w:rPr>
        <w:t>Distributed across /var/log (auth.log, syslog, secure), journald (systemd-based systems), and auditd — no single unified channel like Windows Security log.</w:t>
      </w:r>
    </w:p>
    <w:p w14:paraId="7A4DCF56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261DC601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journalctl -u sshd --since today is the fastest way to pull SSH auth activity for triage.</w:t>
      </w:r>
    </w:p>
    <w:p w14:paraId="6D704EA3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Cloud Linux images often disable auditd by default — a common misconfiguration attackers rely on for stealth.</w:t>
      </w:r>
    </w:p>
    <w:p w14:paraId="3F77BEF3">
      <w:pPr>
        <w:spacing w:before="160" w:after="40"/>
      </w:pPr>
      <w:r>
        <w:rPr>
          <w:b/>
          <w:bCs/>
          <w:sz w:val="22"/>
          <w:szCs w:val="22"/>
        </w:rPr>
        <w:t>Network Logs</w:t>
      </w:r>
    </w:p>
    <w:p w14:paraId="43AC71B0">
      <w:pPr>
        <w:spacing w:after="60"/>
      </w:pPr>
      <w:r>
        <w:rPr>
          <w:sz w:val="20"/>
          <w:szCs w:val="20"/>
        </w:rPr>
        <w:t>Flow-level records (NetFlow/IPFIX, firewall logs, VPC Flow Logs) showing src/dst IP, port, byte count — metadata, not payload.</w:t>
      </w:r>
    </w:p>
    <w:p w14:paraId="0214A182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4BF2B78C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Flow logs reveal beaconing (fixed-interval outbound connections) even when payload is encrypted (TLS).</w:t>
      </w:r>
    </w:p>
    <w:p w14:paraId="2341C9C9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Retention is usually shorter than host logs due to volume — plan flow log storage separately (often S3/cold storage + query layer).</w:t>
      </w:r>
    </w:p>
    <w:p w14:paraId="7D85B83B">
      <w:pPr>
        <w:spacing w:before="160" w:after="40"/>
      </w:pPr>
      <w:r>
        <w:rPr>
          <w:b/>
          <w:bCs/>
          <w:sz w:val="22"/>
          <w:szCs w:val="22"/>
        </w:rPr>
        <w:t>DNS Logs</w:t>
      </w:r>
    </w:p>
    <w:p w14:paraId="3D0F2167">
      <w:pPr>
        <w:spacing w:after="60"/>
      </w:pPr>
      <w:r>
        <w:rPr>
          <w:sz w:val="20"/>
          <w:szCs w:val="20"/>
        </w:rPr>
        <w:t>Query/response records from resolvers showing domain lookups — one of the highest-signal, lowest-cost detection sources.</w:t>
      </w:r>
    </w:p>
    <w:p w14:paraId="1F466071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14B8E0DE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DGA (domain generation algorithm) malware is detectable via high-entropy subdomain patterns in DNS query logs.</w:t>
      </w:r>
    </w:p>
    <w:p w14:paraId="531E9A84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NXDOMAIN spikes from a single host often indicate C2 domain-flux behavior or DNS tunneling.</w:t>
      </w:r>
    </w:p>
    <w:p w14:paraId="7B47568E">
      <w:pPr>
        <w:spacing w:before="160" w:after="40"/>
      </w:pPr>
      <w:r>
        <w:rPr>
          <w:b/>
          <w:bCs/>
          <w:sz w:val="22"/>
          <w:szCs w:val="22"/>
        </w:rPr>
        <w:t>Proxy Logs</w:t>
      </w:r>
    </w:p>
    <w:p w14:paraId="39A532E8">
      <w:pPr>
        <w:spacing w:after="60"/>
      </w:pPr>
      <w:r>
        <w:rPr>
          <w:sz w:val="20"/>
          <w:szCs w:val="20"/>
        </w:rPr>
        <w:t>Web/HTTP(S) egress logs (URL, method, user-agent, bytes) from forward proxies — surfaces what internal hosts talk to on the web.</w:t>
      </w:r>
    </w:p>
    <w:p w14:paraId="48773A05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6F2A6506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User-agent anomalies (e.g. curl/PowerShell UA hitting external IPs) are a classic exfiltration/C2 indicator.</w:t>
      </w:r>
    </w:p>
    <w:p w14:paraId="6170DC13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SSL/TLS inspection (MITM decrypt) is required to see URI paths inside HTTPS — without it, only SNI/domain is visible.</w:t>
      </w:r>
    </w:p>
    <w:p w14:paraId="400CFEF3">
      <w:pPr>
        <w:spacing w:before="160" w:after="40"/>
      </w:pPr>
      <w:r>
        <w:rPr>
          <w:b/>
          <w:bCs/>
          <w:sz w:val="22"/>
          <w:szCs w:val="22"/>
        </w:rPr>
        <w:t>Authentication Logs</w:t>
      </w:r>
    </w:p>
    <w:p w14:paraId="39A60F60">
      <w:pPr>
        <w:spacing w:after="60"/>
      </w:pPr>
      <w:r>
        <w:rPr>
          <w:sz w:val="20"/>
          <w:szCs w:val="20"/>
        </w:rPr>
        <w:t>Records of identity events: logons, MFA challenges, password resets, token issuance (Windows Security log, Linux PAM, Azure AD Sign-in logs, Okta System Log).</w:t>
      </w:r>
    </w:p>
    <w:p w14:paraId="0872B43D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53C3D5B2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'Impossible travel' (two logons from geographically distant IPs within a short time) is a standard correlation rule built on these logs.</w:t>
      </w:r>
    </w:p>
    <w:p w14:paraId="3196BC00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Service account logons should be baselined separately — they normally never trigger interactive-logon patterns.</w:t>
      </w:r>
    </w:p>
    <w:p w14:paraId="487940E0">
      <w:pPr>
        <w:spacing w:before="160" w:after="40"/>
      </w:pPr>
      <w:r>
        <w:rPr>
          <w:b/>
          <w:bCs/>
          <w:sz w:val="22"/>
          <w:szCs w:val="22"/>
        </w:rPr>
        <w:t>Cloud Logs</w:t>
      </w:r>
    </w:p>
    <w:p w14:paraId="4AF6D571">
      <w:pPr>
        <w:spacing w:after="60"/>
      </w:pPr>
      <w:r>
        <w:rPr>
          <w:sz w:val="20"/>
          <w:szCs w:val="20"/>
        </w:rPr>
        <w:t>Control-plane and data-plane audit trails: AWS CloudTrail, Azure Activity/Monitor logs, GCP Audit Logs — record API calls, not just OS activity.</w:t>
      </w:r>
    </w:p>
    <w:p w14:paraId="00DDDDD9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653F9314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CloudTrail logs 'who called which API, from where' — critical for catching IAM privilege escalation chains.</w:t>
      </w:r>
    </w:p>
    <w:p w14:paraId="08649A57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Multi-region logging must be explicitly enabled in AWS; a single-region trail is a common visibility gap.</w:t>
      </w:r>
    </w:p>
    <w:p w14:paraId="28EFEEF6">
      <w:pPr>
        <w:spacing w:before="160" w:after="40"/>
      </w:pPr>
      <w:r>
        <w:rPr>
          <w:b/>
          <w:bCs/>
          <w:sz w:val="22"/>
          <w:szCs w:val="22"/>
        </w:rPr>
        <w:t>Sysmon</w:t>
      </w:r>
    </w:p>
    <w:p w14:paraId="4945B2E7">
      <w:pPr>
        <w:spacing w:after="60"/>
      </w:pPr>
      <w:r>
        <w:rPr>
          <w:sz w:val="20"/>
          <w:szCs w:val="20"/>
        </w:rPr>
        <w:t>Microsoft Sysinternals tool that extends Windows telemetry: process creation with full command line &amp; hash, network connections, registry, image/DLL loads — configured via XML rule file.</w:t>
      </w:r>
    </w:p>
    <w:p w14:paraId="325D4A8E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64E636D7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EventID 1 = process create, 3 = network connect, 7 = image load, 11 = file create, 13 = registry set — these are the workhorse IDs for hunting.</w:t>
      </w:r>
    </w:p>
    <w:p w14:paraId="38F3BAB2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 tuned config (e.g. SwiftOnSecurity's or Olaf Hartong's community config) filters noise; default config over-logs and drowns the SIEM.</w:t>
      </w:r>
    </w:p>
    <w:p w14:paraId="2CB93207">
      <w:pPr>
        <w:spacing w:before="160" w:after="40"/>
      </w:pPr>
      <w:r>
        <w:rPr>
          <w:b/>
          <w:bCs/>
          <w:sz w:val="22"/>
          <w:szCs w:val="22"/>
        </w:rPr>
        <w:t>ETW</w:t>
      </w:r>
    </w:p>
    <w:p w14:paraId="5309E29A">
      <w:pPr>
        <w:spacing w:after="60"/>
      </w:pPr>
      <w:r>
        <w:rPr>
          <w:sz w:val="20"/>
          <w:szCs w:val="20"/>
        </w:rPr>
        <w:t>Event Tracing for Windows — the low-level, high-performance OS tracing framework that Sysmon, Windows Defender, and EDR agents subscribe to for kernel/user-mode events.</w:t>
      </w:r>
    </w:p>
    <w:p w14:paraId="43B656C3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1F9BA650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ETW is the reason modern EDR can see .NET/PowerShell in-memory activity (via the AMSI and PowerShell ETW providers) without touching disk.</w:t>
      </w:r>
    </w:p>
    <w:p w14:paraId="31777B4D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Attackers attempt to 'patch' ETW (patching EtwEventWrite in memory) specifically to blind EDR — a known evasion technique (T1562.006).</w:t>
      </w:r>
    </w:p>
    <w:p w14:paraId="0E92161B">
      <w:pPr>
        <w:spacing w:before="160" w:after="40"/>
      </w:pPr>
      <w:r>
        <w:rPr>
          <w:b/>
          <w:bCs/>
          <w:sz w:val="22"/>
          <w:szCs w:val="22"/>
        </w:rPr>
        <w:t>EDR Telemetry</w:t>
      </w:r>
    </w:p>
    <w:p w14:paraId="74188E41">
      <w:pPr>
        <w:spacing w:after="60"/>
      </w:pPr>
      <w:r>
        <w:rPr>
          <w:sz w:val="20"/>
          <w:szCs w:val="20"/>
        </w:rPr>
        <w:t>Vendor-collected endpoint data (CrowdStrike, Defender for Endpoint, SentinelOne) combining process trees, network, file, and registry activity with built-in behavioral scoring.</w:t>
      </w:r>
    </w:p>
    <w:p w14:paraId="7E9F4C0F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1F6DFA81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EDR telemetry is typically retained in the vendor cloud (30–90 days standard) — forward critical events to the SIEM for longer retention.</w:t>
      </w:r>
    </w:p>
    <w:p w14:paraId="0AF076BE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'EDR-visible but not blocked' events (informational telemetry) are often the earliest signal of an intrusion, before any alert fires.</w:t>
      </w:r>
    </w:p>
    <w:p w14:paraId="385BA96E">
      <w:r>
        <w:br w:type="page"/>
      </w:r>
    </w:p>
    <w:p w14:paraId="7B461B9F">
      <w:pPr>
        <w:pStyle w:val="2"/>
        <w:pBdr>
          <w:bottom w:val="single" w:color="1F4E5F" w:sz="8" w:space="4"/>
        </w:pBdr>
        <w:spacing w:before="300" w:after="120"/>
      </w:pPr>
      <w:r>
        <w:rPr>
          <w:b/>
          <w:bCs/>
          <w:color w:val="1F4E5F"/>
          <w:sz w:val="30"/>
          <w:szCs w:val="30"/>
        </w:rPr>
        <w:t>Level 3 — Detection Engineering</w:t>
      </w:r>
    </w:p>
    <w:p w14:paraId="3BED5D50">
      <w:pPr>
        <w:spacing w:after="100"/>
      </w:pPr>
      <w:r>
        <w:rPr>
          <w:i/>
          <w:iCs/>
          <w:sz w:val="20"/>
          <w:szCs w:val="20"/>
        </w:rPr>
        <w:t>This level turns raw sources into actionable, tested detection logic — the discipline of writing, tuning, and validating rules at scale.</w:t>
      </w:r>
    </w:p>
    <w:p w14:paraId="4778CDFA">
      <w:pPr>
        <w:spacing w:before="160" w:after="40"/>
      </w:pPr>
      <w:r>
        <w:rPr>
          <w:b/>
          <w:bCs/>
          <w:sz w:val="22"/>
          <w:szCs w:val="22"/>
        </w:rPr>
        <w:t>MITRE ATT&amp;CK</w:t>
      </w:r>
    </w:p>
    <w:p w14:paraId="7B21C7C4">
      <w:pPr>
        <w:spacing w:after="60"/>
      </w:pPr>
      <w:r>
        <w:rPr>
          <w:sz w:val="20"/>
          <w:szCs w:val="20"/>
        </w:rPr>
        <w:t>A knowledge base of adversary Tactics, Techniques &amp; Sub-techniques (e.g. T1055 Process Injection) used as the common taxonomy for mapping detections to real behavior.</w:t>
      </w:r>
    </w:p>
    <w:p w14:paraId="6EAF407B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2EE85EFC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Detection coverage is usually tracked as a heatmap in the ATT&amp;CK Navigator, showing which techniques have rules vs. gaps.</w:t>
      </w:r>
    </w:p>
    <w:p w14:paraId="5D80728B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ATT&amp;CK is descriptive, not prescriptive — it tells you what adversaries do, not how to write the rule.</w:t>
      </w:r>
    </w:p>
    <w:p w14:paraId="6278B578">
      <w:pPr>
        <w:spacing w:before="160" w:after="40"/>
      </w:pPr>
      <w:r>
        <w:rPr>
          <w:b/>
          <w:bCs/>
          <w:sz w:val="22"/>
          <w:szCs w:val="22"/>
        </w:rPr>
        <w:t>IOC Detection</w:t>
      </w:r>
    </w:p>
    <w:p w14:paraId="73BBEDEA">
      <w:pPr>
        <w:spacing w:after="60"/>
      </w:pPr>
      <w:r>
        <w:rPr>
          <w:sz w:val="20"/>
          <w:szCs w:val="20"/>
        </w:rPr>
        <w:t>Matching telemetry against known-bad atomic indicators (hash, IP, domain) — simplest form of detection logic, typically a lookup/blocklist match.</w:t>
      </w:r>
    </w:p>
    <w:p w14:paraId="02A43CC3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6B4F8579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High precision, low recall: exact hash matches almost never produce false positives, but miss any repacked/modified malware.</w:t>
      </w:r>
    </w:p>
    <w:p w14:paraId="64135973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Best used for known commodity threats; largely ineffective against targeted or novel intrusions.</w:t>
      </w:r>
    </w:p>
    <w:p w14:paraId="2D02E5BA">
      <w:pPr>
        <w:spacing w:before="160" w:after="40"/>
      </w:pPr>
      <w:r>
        <w:rPr>
          <w:b/>
          <w:bCs/>
          <w:sz w:val="22"/>
          <w:szCs w:val="22"/>
        </w:rPr>
        <w:t>TTP Detection</w:t>
      </w:r>
    </w:p>
    <w:p w14:paraId="428DFB1D">
      <w:pPr>
        <w:spacing w:after="60"/>
      </w:pPr>
      <w:r>
        <w:rPr>
          <w:sz w:val="20"/>
          <w:szCs w:val="20"/>
        </w:rPr>
        <w:t>Detecting behavior patterns (Tactics, Techniques, Procedures) rather than static artifacts — e.g. 'LSASS memory access by non-standard process' instead of a specific tool hash.</w:t>
      </w:r>
    </w:p>
    <w:p w14:paraId="033F683C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75AB4876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TTP-based rules survive tool changes — attackers can swap Mimikatz for a custom binary, but the LSASS-access behavior persists.</w:t>
      </w:r>
    </w:p>
    <w:p w14:paraId="1B2D07CA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Generally higher false-positive rate than IOC matching, requiring tuning against legitimate admin tooling (e.g. backup agents).</w:t>
      </w:r>
    </w:p>
    <w:p w14:paraId="65D40C7D">
      <w:pPr>
        <w:spacing w:before="160" w:after="40"/>
      </w:pPr>
      <w:r>
        <w:rPr>
          <w:b/>
          <w:bCs/>
          <w:sz w:val="22"/>
          <w:szCs w:val="22"/>
        </w:rPr>
        <w:t>Detection Logic</w:t>
      </w:r>
    </w:p>
    <w:p w14:paraId="196F834D">
      <w:pPr>
        <w:spacing w:after="60"/>
      </w:pPr>
      <w:r>
        <w:rPr>
          <w:sz w:val="20"/>
          <w:szCs w:val="20"/>
        </w:rPr>
        <w:t>The explicit conditional structure of a rule: fields, operators, thresholds, and time windows that define what constitutes a match.</w:t>
      </w:r>
    </w:p>
    <w:p w14:paraId="1D4D057B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53BAB8E6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Logic should be version-controlled (rules-as-code in Git) so changes are reviewed and rollback is possible.</w:t>
      </w:r>
    </w:p>
    <w:p w14:paraId="1BDE69EF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Every rule needs a documented false-positive rationale and an owner — undocumented rules rot and get silently disabled.</w:t>
      </w:r>
    </w:p>
    <w:p w14:paraId="1189F016">
      <w:pPr>
        <w:spacing w:before="160" w:after="40"/>
      </w:pPr>
      <w:r>
        <w:rPr>
          <w:b/>
          <w:bCs/>
          <w:sz w:val="22"/>
          <w:szCs w:val="22"/>
        </w:rPr>
        <w:t>Correlation</w:t>
      </w:r>
    </w:p>
    <w:p w14:paraId="3EBC0A46">
      <w:pPr>
        <w:spacing w:after="60"/>
      </w:pPr>
      <w:r>
        <w:rPr>
          <w:sz w:val="20"/>
          <w:szCs w:val="20"/>
        </w:rPr>
        <w:t>Combining multiple discrete events across time/sources into a single higher-confidence detection (e.g. failed logon x5 + new admin group add + off-hours = one alert, not four).</w:t>
      </w:r>
    </w:p>
    <w:p w14:paraId="32134605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0C410DDA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Correlation rules reduce alert volume dramatically and raise confidence — a single failed-logon event is noise, the sequence is a signal.</w:t>
      </w:r>
    </w:p>
    <w:p w14:paraId="2722E6E5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Requires consistent entity resolution (same hostname/user format) across sources — a common integration failure point.</w:t>
      </w:r>
    </w:p>
    <w:p w14:paraId="728C12B5">
      <w:pPr>
        <w:spacing w:before="160" w:after="40"/>
      </w:pPr>
      <w:r>
        <w:rPr>
          <w:b/>
          <w:bCs/>
          <w:sz w:val="22"/>
          <w:szCs w:val="22"/>
        </w:rPr>
        <w:t>SIEM</w:t>
      </w:r>
    </w:p>
    <w:p w14:paraId="18667A25">
      <w:pPr>
        <w:spacing w:after="60"/>
      </w:pPr>
      <w:r>
        <w:rPr>
          <w:sz w:val="20"/>
          <w:szCs w:val="20"/>
        </w:rPr>
        <w:t>Security Information and Event Management platform (Splunk, Microsoft Sentinel, Elastic) that ingests, indexes, and correlates logs at scale, and runs detection rules against them.</w:t>
      </w:r>
    </w:p>
    <w:p w14:paraId="25BA1671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2CA02930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Cost usually scales with ingest volume (GB/day) — teams often filter/route noisy sources to cheaper storage and keep high-value sources hot.</w:t>
      </w:r>
    </w:p>
    <w:p w14:paraId="6D0581FF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 SIEM without normalized field mapping (CIM in Splunk, ECS in Elastic) makes cross-source correlation rules unreliable.</w:t>
      </w:r>
    </w:p>
    <w:p w14:paraId="47657C33">
      <w:pPr>
        <w:spacing w:before="160" w:after="40"/>
      </w:pPr>
      <w:r>
        <w:rPr>
          <w:b/>
          <w:bCs/>
          <w:sz w:val="22"/>
          <w:szCs w:val="22"/>
        </w:rPr>
        <w:t>Sigma</w:t>
      </w:r>
    </w:p>
    <w:p w14:paraId="6C0AA17B">
      <w:pPr>
        <w:spacing w:after="60"/>
      </w:pPr>
      <w:r>
        <w:rPr>
          <w:sz w:val="20"/>
          <w:szCs w:val="20"/>
        </w:rPr>
        <w:t>An open, YAML-based generic signature format for SIEM-agnostic detection rules — write once, convert to Splunk SPL / KQL / Elastic Query DSL via 'sigma-cli' or 'pySigma'.</w:t>
      </w:r>
    </w:p>
    <w:p w14:paraId="2D22E8EF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2CD3C393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SigmaHQ's public rule repo (github.com/SigmaHQ/sigma) is the de-facto community rule-sharing standard, similar to YARA for detection logic.</w:t>
      </w:r>
    </w:p>
    <w:p w14:paraId="3B61FC74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Example fragment: 'detection: selection: EventID: 4688 CommandLine|contains: "whoami /priv" condition: selection' — this pattern flags privilege enumeration.</w:t>
      </w:r>
    </w:p>
    <w:p w14:paraId="3C420DF1">
      <w:pPr>
        <w:spacing w:before="160" w:after="40"/>
      </w:pPr>
      <w:r>
        <w:rPr>
          <w:b/>
          <w:bCs/>
          <w:sz w:val="22"/>
          <w:szCs w:val="22"/>
        </w:rPr>
        <w:t>Threat Hunting</w:t>
      </w:r>
    </w:p>
    <w:p w14:paraId="0228B30A">
      <w:pPr>
        <w:spacing w:after="60"/>
      </w:pPr>
      <w:r>
        <w:rPr>
          <w:sz w:val="20"/>
          <w:szCs w:val="20"/>
        </w:rPr>
        <w:t>Proactive, hypothesis-driven search through telemetry for adversary activity that automated rules have not (yet) caught — human-led, not alert-triggered.</w:t>
      </w:r>
    </w:p>
    <w:p w14:paraId="771B3EB8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3992AB26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Hunts typically start from an ATT&amp;CK technique or recent threat-intel report, not from an existing alert.</w:t>
      </w:r>
    </w:p>
    <w:p w14:paraId="773DE011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 successful hunt should be 'operationalized' — converted into a permanent detection rule so future occurrences are automatic.</w:t>
      </w:r>
    </w:p>
    <w:p w14:paraId="75867234">
      <w:pPr>
        <w:spacing w:before="160" w:after="40"/>
      </w:pPr>
      <w:r>
        <w:rPr>
          <w:b/>
          <w:bCs/>
          <w:sz w:val="22"/>
          <w:szCs w:val="22"/>
        </w:rPr>
        <w:t>Behavioral Analytics</w:t>
      </w:r>
    </w:p>
    <w:p w14:paraId="72C643A6">
      <w:pPr>
        <w:spacing w:after="60"/>
      </w:pPr>
      <w:r>
        <w:rPr>
          <w:sz w:val="20"/>
          <w:szCs w:val="20"/>
        </w:rPr>
        <w:t>Statistical/ML-driven baselining of 'normal' per-user or per-host activity to flag deviations (UEBA) — complements signature-based rules.</w:t>
      </w:r>
    </w:p>
    <w:p w14:paraId="08059D64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14C92E6C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Requires a baseline period (commonly 2–4 weeks) before it produces reliable anomaly scores; new environments are noisy at first.</w:t>
      </w:r>
    </w:p>
    <w:p w14:paraId="703FDC41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Effective against insider threats and compromised-credential misuse, where no malware/IOC exists at all.</w:t>
      </w:r>
    </w:p>
    <w:p w14:paraId="00958997">
      <w:pPr>
        <w:spacing w:before="160" w:after="40"/>
      </w:pPr>
      <w:r>
        <w:rPr>
          <w:b/>
          <w:bCs/>
          <w:sz w:val="22"/>
          <w:szCs w:val="22"/>
        </w:rPr>
        <w:t>Alert Triage</w:t>
      </w:r>
    </w:p>
    <w:p w14:paraId="47AB36F7">
      <w:pPr>
        <w:spacing w:after="60"/>
      </w:pPr>
      <w:r>
        <w:rPr>
          <w:sz w:val="20"/>
          <w:szCs w:val="20"/>
        </w:rPr>
        <w:t>The analyst workflow of assessing a fired alert's validity, severity, and scope before escalation — the human decision layer after detection fires.</w:t>
      </w:r>
    </w:p>
    <w:p w14:paraId="40558CB2">
      <w:pPr>
        <w:spacing w:after="20"/>
      </w:pPr>
      <w:r>
        <w:rPr>
          <w:i/>
          <w:iCs/>
          <w:color w:val="595959"/>
          <w:sz w:val="19"/>
          <w:szCs w:val="19"/>
        </w:rPr>
        <w:t>Practical notes:</w:t>
      </w:r>
    </w:p>
    <w:p w14:paraId="7C047CEA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Standard triage questions: is the asset/user known-legit for this action? Is it in an expected time window? Any correlated alerts nearby?</w:t>
      </w:r>
    </w:p>
    <w:p w14:paraId="6A75E7F9">
      <w:pPr>
        <w:pStyle w:val="16"/>
        <w:numPr>
          <w:ilvl w:val="0"/>
          <w:numId w:val="1"/>
        </w:numPr>
        <w:spacing w:after="20"/>
      </w:pPr>
      <w:r>
        <w:rPr>
          <w:sz w:val="19"/>
          <w:szCs w:val="19"/>
        </w:rPr>
        <w:t>A documented triage playbook per alert type cuts average handling time significantly and reduces analyst-to-analyst inconsistency.</w:t>
      </w:r>
    </w:p>
    <w:sectPr>
      <w:pgSz w:w="12240" w:h="15840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16285"/>
    <w:multiLevelType w:val="singleLevel"/>
    <w:tmpl w:val="BED16285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96AB6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Sahoo</cp:lastModifiedBy>
  <dcterms:modified xsi:type="dcterms:W3CDTF">2026-07-04T21:05:42Z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8A24A4734A0C44134E28496A6DFC3342_42</vt:lpwstr>
  </property>
</Properties>
</file>