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BANK LIMITED</w:t>
        <w:br/>
        <w:t>TREASURY AND INVESTMENT POLICY</w:t>
      </w:r>
    </w:p>
    <w:p>
      <w:pPr>
        <w:jc w:val="center"/>
      </w:pPr>
      <w:r>
        <w:rPr>
          <w:i/>
        </w:rPr>
        <w:t>Extract for internal audit - sections 4 to 8</w:t>
        <w:br/>
      </w:r>
      <w:r>
        <w:rPr>
          <w:i/>
        </w:rPr>
        <w:t>Document reference TP/2023/04  |  Version 4.1  |  Approved by the Board Risk Committee on 12 October 2023  |  Effective 1 November 2023  |  Next review due 1 November 2024</w:t>
      </w:r>
    </w:p>
    <w:p/>
    <w:p>
      <w:pPr>
        <w:pStyle w:val="Heading1"/>
      </w:pPr>
      <w:r>
        <w:t>4. Organisation and segregation of duties</w:t>
      </w:r>
    </w:p>
    <w:p>
      <w:r>
        <w:rPr>
          <w:b/>
        </w:rPr>
        <w:t xml:space="preserve">4.1  </w:t>
      </w:r>
      <w:r>
        <w:t>Dealing, confirmation and settlement are performed by separate functions. A member of the front office shall not confirm, verify or release settlement of any deal, whether or not that deal is one they executed.</w:t>
      </w:r>
    </w:p>
    <w:p>
      <w:r>
        <w:rPr>
          <w:b/>
        </w:rPr>
        <w:t xml:space="preserve">4.2  </w:t>
      </w:r>
      <w:r>
        <w:t>The middle office monitors counterparty and dealer limits independently of the dealing room and reports utilisation daily to the Head of Treasury and the Head of Risk.</w:t>
      </w:r>
    </w:p>
    <w:p>
      <w:r>
        <w:rPr>
          <w:b/>
        </w:rPr>
        <w:t xml:space="preserve">4.3  </w:t>
      </w:r>
      <w:r>
        <w:t>Every settlement instruction is released by one officer and approved by a second. Instructions for an amount at or above the threshold in clause 8.5 require a further approver.</w:t>
      </w:r>
    </w:p>
    <w:p>
      <w:pPr>
        <w:pStyle w:val="Heading1"/>
      </w:pPr>
      <w:r>
        <w:t>5. Dealing</w:t>
      </w:r>
    </w:p>
    <w:p>
      <w:r>
        <w:rPr>
          <w:b/>
        </w:rPr>
        <w:t xml:space="preserve">5.1  </w:t>
      </w:r>
      <w:r>
        <w:t>Deals are executed only with counterparties carrying a current approved limit and a status of Active on the counterparty master. A counterparty whose limit has expired, or whose status is Suspended or Under Review, is closed to new business until the position is restored by the Board Risk Committee.</w:t>
      </w:r>
    </w:p>
    <w:p>
      <w:r>
        <w:rPr>
          <w:b/>
        </w:rPr>
        <w:t xml:space="preserve">5.2  </w:t>
      </w:r>
      <w:r>
        <w:t>Dealing is permitted between 09:00 and 17:00 on business days only. Any deal struck outside those hours, or on a non-business day, requires the prior written approval of the Head of Treasury and must be reported to ALCO at its next meeting.</w:t>
      </w:r>
    </w:p>
    <w:p>
      <w:r>
        <w:rPr>
          <w:b/>
        </w:rPr>
        <w:t xml:space="preserve">5.3  </w:t>
      </w:r>
      <w:r>
        <w:t>A dealer may transact only the products named in their dealing authorisation, and only while that authorisation is current. No deal may exceed the dealer's per-deal limit, and the aggregate value a dealer transacts on one day may not exceed their daily limit.</w:t>
      </w:r>
    </w:p>
    <w:p>
      <w:r>
        <w:rPr>
          <w:b/>
        </w:rPr>
        <w:t xml:space="preserve">5.4  </w:t>
      </w:r>
      <w:r>
        <w:t>Every deal is captured in the treasury system within 15 minutes of execution. Capture records the dealer's identity and the time of execution as distinct from the time of capture.</w:t>
      </w:r>
    </w:p>
    <w:p>
      <w:r>
        <w:rPr>
          <w:b/>
        </w:rPr>
        <w:t xml:space="preserve">5.5  </w:t>
      </w:r>
      <w:r>
        <w:t>The dealt rate is evidenced against the market rate prevailing at the time of execution. Deals struck outside the tolerance in clause 6.3 are escalated to the Head of Treasury before confirmation.</w:t>
      </w:r>
    </w:p>
    <w:p>
      <w:r>
        <w:rPr>
          <w:b/>
        </w:rPr>
        <w:t xml:space="preserve">5.6  </w:t>
      </w:r>
      <w:r>
        <w:t>A deal may not be amended or cancelled after capture without the approval of the Head of Treasury Operations. The approver's identity and the date of approval are recorded against the deal.</w:t>
      </w:r>
    </w:p>
    <w:p>
      <w:pPr>
        <w:pStyle w:val="Heading1"/>
      </w:pPr>
      <w:r>
        <w:t>6. Rates and valuation</w:t>
      </w:r>
    </w:p>
    <w:p>
      <w:r>
        <w:rPr>
          <w:b/>
        </w:rPr>
        <w:t xml:space="preserve">6.1  </w:t>
      </w:r>
      <w:r>
        <w:t>The middle office publishes an independent market rate file each business day covering every instrument and tenor the bank deals in, together with the day's traded high and low.</w:t>
      </w:r>
    </w:p>
    <w:p>
      <w:r>
        <w:rPr>
          <w:b/>
        </w:rPr>
        <w:t xml:space="preserve">6.2  </w:t>
      </w:r>
      <w:r>
        <w:t>The rate file is the reference for rate reasonableness testing. It is not sourced from the dealing room.</w:t>
      </w:r>
    </w:p>
    <w:p>
      <w:r>
        <w:rPr>
          <w:b/>
        </w:rPr>
        <w:t xml:space="preserve">6.3  </w:t>
      </w:r>
      <w:r>
        <w:t>A foreign exchange deal shall be struck within 25 basis points of the published mid rate for its instrument and tenor. A money market or treasury bill deal shall be struck within 15 basis points. Deviations beyond these tolerances require prior approval and are reported to ALCO.</w:t>
      </w:r>
    </w:p>
    <w:p>
      <w:pPr>
        <w:pStyle w:val="Heading1"/>
      </w:pPr>
      <w:r>
        <w:t>7. Confirmation</w:t>
      </w:r>
    </w:p>
    <w:p>
      <w:r>
        <w:rPr>
          <w:b/>
        </w:rPr>
        <w:t xml:space="preserve">7.1  </w:t>
      </w:r>
      <w:r>
        <w:t>Every deal is confirmed with the counterparty. The confirmation is issued by the back office from the captured deal record, not from the dealer's ticket.</w:t>
      </w:r>
    </w:p>
    <w:p>
      <w:r>
        <w:rPr>
          <w:b/>
        </w:rPr>
        <w:t xml:space="preserve">7.2  </w:t>
      </w:r>
      <w:r>
        <w:t>Confirmations are despatched no later than one business day after the deal date.</w:t>
      </w:r>
    </w:p>
    <w:p>
      <w:r>
        <w:rPr>
          <w:b/>
        </w:rPr>
        <w:t xml:space="preserve">7.3  </w:t>
      </w:r>
      <w:r>
        <w:t>The counterparty's confirmation is matched to the deal record on counterparty, principal, rate, value date and maturity date. A discrepancy is referred to the Head of Treasury Operations and is resolved before settlement.</w:t>
      </w:r>
    </w:p>
    <w:p>
      <w:r>
        <w:rPr>
          <w:b/>
        </w:rPr>
        <w:t xml:space="preserve">7.4  </w:t>
      </w:r>
      <w:r>
        <w:t>No deal is settled before the counterparty's confirmation has been received and matched. A confirmation produced internally is not evidence of the counterparty's agreement.</w:t>
      </w:r>
    </w:p>
    <w:p>
      <w:pPr>
        <w:pStyle w:val="Heading1"/>
      </w:pPr>
      <w:r>
        <w:t>8. Settlement</w:t>
      </w:r>
    </w:p>
    <w:p>
      <w:r>
        <w:rPr>
          <w:b/>
        </w:rPr>
        <w:t xml:space="preserve">8.1  </w:t>
      </w:r>
      <w:r>
        <w:t>Settlement is effected on the contracted value date. A settlement made early or late is an exception and is reported.</w:t>
      </w:r>
    </w:p>
    <w:p>
      <w:r>
        <w:rPr>
          <w:b/>
        </w:rPr>
        <w:t xml:space="preserve">8.2  </w:t>
      </w:r>
      <w:r>
        <w:t>The settlement amount is computed from the confirmed principal and the confirmed rate and is agreed to the deal record before release.</w:t>
      </w:r>
    </w:p>
    <w:p>
      <w:r>
        <w:rPr>
          <w:b/>
        </w:rPr>
        <w:t xml:space="preserve">8.3  </w:t>
      </w:r>
      <w:r>
        <w:t>Funds are remitted only to an account held on the approved standing settlement instruction file for that counterparty and currency. Ad hoc payment instructions are not accepted.</w:t>
      </w:r>
    </w:p>
    <w:p>
      <w:r>
        <w:rPr>
          <w:b/>
        </w:rPr>
        <w:t xml:space="preserve">8.4  </w:t>
      </w:r>
      <w:r>
        <w:t>An amendment to a standing settlement instruction takes effect two business days after approval. No settlement may be made to an amended instruction inside that period.</w:t>
      </w:r>
    </w:p>
    <w:p>
      <w:r>
        <w:rPr>
          <w:b/>
        </w:rPr>
        <w:t xml:space="preserve">8.5  </w:t>
      </w:r>
      <w:r>
        <w:t>A settlement instruction for PKR 250,000,000 or more requires two authorised signatures on the instruction itself in addition to system release and approval.</w:t>
      </w:r>
    </w:p>
    <w:p>
      <w:r>
        <w:rPr>
          <w:b/>
        </w:rPr>
        <w:t xml:space="preserve">8.6  </w:t>
      </w:r>
      <w:r>
        <w:t>The nostro reconciliation officer reconciles every settlement to the account statement within two business days.</w:t>
      </w:r>
    </w:p>
    <w:p/>
    <w:p>
      <w:r>
        <w:rPr>
          <w:i/>
        </w:rPr>
        <w:t>This extract is issued for the purposes of the internal audit of treasury operations for the half year ended 30 June 2025. It reproduces sections 4 to 8 of the policy in full. Sections 1 to 3 (scope, definitions and governance) and 9 to 11 (reporting, breaches and review) are not reproduced.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