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/>
      </w:pPr>
      <w:r>
        <w:rPr>
          <w:rFonts w:ascii="Calibri" w:hAnsi="Calibri"/>
          <w:b/>
          <w:color w:val="2E74B5"/>
          <w:sz w:val="18"/>
        </w:rPr>
        <w:t>CONTROL REFERENCE</w:t>
      </w:r>
    </w:p>
    <w:p>
      <w:pPr>
        <w:spacing w:before="0" w:after="100"/>
      </w:pPr>
      <w:r>
        <w:rPr>
          <w:rFonts w:ascii="Calibri" w:hAnsi="Calibri"/>
          <w:b/>
          <w:color w:val="17365D"/>
          <w:sz w:val="48"/>
        </w:rPr>
        <w:t>Expense Delegation of Authority</w:t>
      </w:r>
    </w:p>
    <w:p>
      <w:pPr>
        <w:spacing w:before="0" w:after="300"/>
      </w:pPr>
      <w:r>
        <w:rPr>
          <w:rFonts w:ascii="Calibri" w:hAnsi="Calibri"/>
          <w:b w:val="0"/>
          <w:color w:val="5B6573"/>
          <w:sz w:val="24"/>
        </w:rPr>
        <w:t>DOA-EXP-02 | Effective 1 April 2025 | Version 1.0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  <w:sz w:val="20"/>
              </w:rPr>
              <w:t>Scope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Employee expense reimbursement claims</w:t>
            </w:r>
          </w:p>
        </w:tc>
      </w:tr>
      <w:tr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  <w:sz w:val="20"/>
              </w:rPr>
              <w:t>Control owner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Head of Finance</w:t>
            </w:r>
          </w:p>
        </w:tc>
      </w:tr>
      <w:tr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65D"/>
                <w:sz w:val="20"/>
              </w:rPr>
              <w:t>Interpretation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20"/>
              </w:rPr>
              <w:t>Authority is based on the total value of the submitted claim, not individual line items.</w:t>
            </w:r>
          </w:p>
        </w:tc>
      </w:tr>
    </w:tbl>
    <w:p>
      <w:pPr>
        <w:pStyle w:val="Heading1"/>
      </w:pPr>
      <w:r>
        <w:t>Approval matrix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0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Claim value (PKR)</w:t>
            </w:r>
          </w:p>
        </w:tc>
        <w:tc>
          <w:tcPr>
            <w:tcW w:type="dxa" w:w="300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Required approver</w:t>
            </w:r>
          </w:p>
        </w:tc>
        <w:tc>
          <w:tcPr>
            <w:tcW w:type="dxa" w:w="396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System evidence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0 - 30,000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Department Manager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Approver name, decision, date, and portal record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30,001 - 100,000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Head of Finance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Approver name, decision, date, and portal record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Above 100,000</w:t>
            </w:r>
          </w:p>
        </w:tc>
        <w:tc>
          <w:tcPr>
            <w:tcW w:type="dxa" w:w="30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Chief Operating Officer and Head of Finance</w:t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Two approval records before payment</w:t>
            </w:r>
          </w:p>
        </w:tc>
      </w:tr>
    </w:tbl>
    <w:p>
      <w:pPr>
        <w:pStyle w:val="Heading1"/>
      </w:pPr>
      <w:r>
        <w:t>Named approvers for the Q2 2025 demonstration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0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Department</w:t>
            </w:r>
          </w:p>
        </w:tc>
        <w:tc>
          <w:tcPr>
            <w:tcW w:type="dxa" w:w="246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Approver</w:t>
            </w:r>
          </w:p>
        </w:tc>
        <w:tc>
          <w:tcPr>
            <w:tcW w:type="dxa" w:w="270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Role</w:t>
            </w:r>
          </w:p>
        </w:tc>
        <w:tc>
          <w:tcPr>
            <w:tcW w:type="dxa" w:w="1800"/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365D"/>
                <w:sz w:val="18"/>
              </w:rPr>
              <w:t>Limit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Sales</w:t>
            </w:r>
          </w:p>
        </w:tc>
        <w:tc>
          <w:tcPr>
            <w:tcW w:type="dxa" w:w="24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Nadia Rahman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Department Manager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PKR 30,000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Operations</w:t>
            </w:r>
          </w:p>
        </w:tc>
        <w:tc>
          <w:tcPr>
            <w:tcW w:type="dxa" w:w="24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Aamir Hussain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Department Manager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PKR 30,000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Finance</w:t>
            </w:r>
          </w:p>
        </w:tc>
        <w:tc>
          <w:tcPr>
            <w:tcW w:type="dxa" w:w="24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Kashif Iqbal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Finance Manager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PKR 30,000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Human Resources</w:t>
            </w:r>
          </w:p>
        </w:tc>
        <w:tc>
          <w:tcPr>
            <w:tcW w:type="dxa" w:w="24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Amina Bukhari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Department Manager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PKR 30,000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Information Technology</w:t>
            </w:r>
          </w:p>
        </w:tc>
        <w:tc>
          <w:tcPr>
            <w:tcW w:type="dxa" w:w="24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Waleed Sheikh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Department Manager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PKR 30,000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Marketing</w:t>
            </w:r>
          </w:p>
        </w:tc>
        <w:tc>
          <w:tcPr>
            <w:tcW w:type="dxa" w:w="24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Saira Javed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Department Manager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PKR 30,000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All departments</w:t>
            </w:r>
          </w:p>
        </w:tc>
        <w:tc>
          <w:tcPr>
            <w:tcW w:type="dxa" w:w="246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Raza Qureshi</w:t>
            </w:r>
          </w:p>
        </w:tc>
        <w:tc>
          <w:tcPr>
            <w:tcW w:type="dxa" w:w="27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Head of Finance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PKR 100,000</w:t>
            </w:r>
          </w:p>
        </w:tc>
      </w:tr>
    </w:tbl>
    <w:p>
      <w:pPr>
        <w:pStyle w:val="Heading1"/>
      </w:pPr>
      <w:r>
        <w:t>Control note</w:t>
      </w:r>
    </w:p>
    <w:p>
      <w:r>
        <w:t>The workflow must prevent payment release until the required approval is recorded. Approvers may not approve a claim outside their delegated limit. This document is fictional demo material.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color w:val="5B6573"/>
        <w:sz w:val="16"/>
      </w:rPr>
      <w:t>Fictional demo material - Q2 2025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B6573"/>
        <w:sz w:val="16"/>
      </w:rPr>
      <w:t>NORTHSTAR TRADING | Delegation of Authority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