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MERIDIAN BANK LIMITED</w:t>
        <w:br/>
        <w:t>TREASURY AND INVESTMENT POLICY</w:t>
      </w:r>
    </w:p>
    <w:p>
      <w:pPr>
        <w:jc w:val="center"/>
      </w:pPr>
      <w:r>
        <w:rPr>
          <w:i/>
        </w:rPr>
        <w:t>Extract for internal audit - dealing capture and confirmation</w:t>
        <w:br/>
      </w:r>
      <w:r>
        <w:rPr>
          <w:i/>
        </w:rPr>
        <w:t>Document reference TP/2023/04  |  Version 4.1  |  Approved by the Board Risk Committee on 12 October 2023  |  Effective 1 November 2023  |  Next review due 1 November 2024</w:t>
      </w:r>
    </w:p>
    <w:p/>
    <w:p>
      <w:pPr>
        <w:pStyle w:val="Heading1"/>
      </w:pPr>
      <w:r>
        <w:t>4. Organisation and segregation of duties</w:t>
      </w:r>
    </w:p>
    <w:p>
      <w:r>
        <w:rPr>
          <w:b/>
        </w:rPr>
        <w:t xml:space="preserve">4.1  </w:t>
      </w:r>
      <w:r>
        <w:t>Dealing, confirmation and settlement are performed by separate functions. A member of the front office shall not confirm, verify or release settlement of any deal, whether or not that deal is one they executed.</w:t>
      </w:r>
    </w:p>
    <w:p>
      <w:pPr>
        <w:pStyle w:val="Heading1"/>
      </w:pPr>
      <w:r>
        <w:t>5. Dealing</w:t>
      </w:r>
    </w:p>
    <w:p>
      <w:r>
        <w:rPr>
          <w:b/>
        </w:rPr>
        <w:t xml:space="preserve">5.2  </w:t>
      </w:r>
      <w:r>
        <w:t>Dealing is permitted between 09:00 and 17:00 on business days only. Any deal struck outside those hours, or on a non-business day, requires the prior written approval of the Head of Treasury and must be reported to ALCO at its next meeting.</w:t>
      </w:r>
    </w:p>
    <w:p>
      <w:r>
        <w:rPr>
          <w:b/>
        </w:rPr>
        <w:t xml:space="preserve">5.4  </w:t>
      </w:r>
      <w:r>
        <w:t>Every deal is captured in the treasury system within 15 minutes of execution. Capture records the dealer's identity and the time of execution as distinct from the time of capture.</w:t>
      </w:r>
    </w:p>
    <w:p>
      <w:r>
        <w:rPr>
          <w:b/>
        </w:rPr>
        <w:t xml:space="preserve">5.6  </w:t>
      </w:r>
      <w:r>
        <w:t>A deal may not be amended or cancelled after capture without the approval of the Head of Treasury Operations. The approver's identity and the date of approval are recorded against the deal.</w:t>
      </w:r>
    </w:p>
    <w:p>
      <w:pPr>
        <w:pStyle w:val="Heading1"/>
      </w:pPr>
      <w:r>
        <w:t>7. Confirmation</w:t>
      </w:r>
    </w:p>
    <w:p>
      <w:r>
        <w:rPr>
          <w:b/>
        </w:rPr>
        <w:t xml:space="preserve">7.2  </w:t>
      </w:r>
      <w:r>
        <w:t>Confirmations are despatched no later than one business day after the deal date.</w:t>
      </w:r>
    </w:p>
    <w:p>
      <w:r>
        <w:rPr>
          <w:b/>
        </w:rPr>
        <w:t xml:space="preserve">7.3  </w:t>
      </w:r>
      <w:r>
        <w:t>The counterparty's confirmation is matched to the deal record on counterparty, principal, rate, value date and maturity date. A discrepancy is referred to the Head of Treasury Operations and is resolved before settlement.</w:t>
      </w:r>
    </w:p>
    <w:p>
      <w:r>
        <w:rPr>
          <w:b/>
        </w:rPr>
        <w:t xml:space="preserve">7.4  </w:t>
      </w:r>
      <w:r>
        <w:t>No deal is settled before the counterparty's confirmation has been received and matched. A confirmation produced internally is not evidence of the counterparty's agreement.</w:t>
      </w:r>
    </w:p>
    <w:p/>
    <w:p>
      <w:r>
        <w:rPr>
          <w:i/>
        </w:rPr>
        <w:t>This extract is issued for the purposes of the internal audit of treasury dealing capture and confirmation for the half year ended 30 June 2025. It reproduces the clauses of sections 4, 5 and 7 that bear on deal capture and counterparty confirmation. The counterparty and dealer limit clauses, section 6 (rates and valuation) and section 8 (settlement) are not reproduced and are outside this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