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MERIDIAN BANK LIMITED</w:t>
        <w:br/>
        <w:t>MINUTES OF MEETING</w:t>
      </w:r>
    </w:p>
    <w:p>
      <w:pPr>
        <w:jc w:val="center"/>
      </w:pPr>
      <w:r>
        <w:rPr>
          <w:i/>
        </w:rPr>
        <w:t>Internal audit planning - treasury operations</w:t>
      </w:r>
    </w:p>
    <w:p/>
    <w:p>
      <w:r>
        <w:rPr>
          <w:b/>
        </w:rPr>
        <w:t xml:space="preserve">Date: </w:t>
      </w:r>
      <w:r>
        <w:t>23 July 2025</w:t>
      </w:r>
    </w:p>
    <w:p>
      <w:r>
        <w:rPr>
          <w:b/>
        </w:rPr>
        <w:t xml:space="preserve">Venue: </w:t>
      </w:r>
      <w:r>
        <w:t>Board room, head office, Karachi</w:t>
      </w:r>
    </w:p>
    <w:p>
      <w:r>
        <w:rPr>
          <w:b/>
        </w:rPr>
        <w:t xml:space="preserve">Present: </w:t>
      </w:r>
      <w:r>
        <w:t>Nadia Rahman, Chief Financial Officer (chair); Imran Qadir, Head of Treasury; Nida Hasan, Head of Risk; Rehan Baig, Head of Treasury Operations; Lubna Farooq, Compliance Officer; Sarah Idrees, Head of Internal Audit</w:t>
      </w:r>
    </w:p>
    <w:p>
      <w:r>
        <w:rPr>
          <w:b/>
        </w:rPr>
        <w:t xml:space="preserve">Subject: </w:t>
      </w:r>
      <w:r>
        <w:t>Scope of the internal audit of treasury operations for the half year ended 30 June 2025</w:t>
      </w:r>
    </w:p>
    <w:p>
      <w:pPr>
        <w:pStyle w:val="Heading1"/>
      </w:pPr>
      <w:r>
        <w:t>1. Background</w:t>
      </w:r>
    </w:p>
    <w:p>
      <w:r>
        <w:t>The Head of Treasury reported that dealing volumes had grown materially over the half year, driven by the bank's liquidity position and by wider spreads in the interbank market. One thousand deals were struck in the six months to 30 June 2025 across foreign exchange, money market and treasury bills.</w:t>
      </w:r>
    </w:p>
    <w:p>
      <w:r>
        <w:t>The Chief Financial Officer noted that the dealing room had operated through the period with one dealer fewer than establishment, and that a junior dealer had been on secondment from June.</w:t>
      </w:r>
    </w:p>
    <w:p>
      <w:pPr>
        <w:pStyle w:val="Heading1"/>
      </w:pPr>
      <w:r>
        <w:t>2. Control environment</w:t>
      </w:r>
    </w:p>
    <w:p>
      <w:r>
        <w:t>The Head of Treasury Operations reported that confirmations had on occasion been despatched late where the counterparty's own back office was slow to respond, and that a small number of deals had been amended after capture.</w:t>
      </w:r>
    </w:p>
    <w:p>
      <w:r>
        <w:t>The Head of Risk observed that dealer authorisations had not been reviewed since the start of the financial year, and that at least one dealer was operating without a current limit record. She undertook to have the limit file reconciled to the establishment before the audit fieldwork began. As at the date of these minutes that reconciliation had not been completed.</w:t>
      </w:r>
    </w:p>
    <w:p>
      <w:r>
        <w:t>The Compliance Officer reported that the counterparty master carried two counterparties whose position had changed during the period, one suspended and one whose limit had lapsed, and that she had not received confirmation that dealing with either had stopped.</w:t>
      </w:r>
    </w:p>
    <w:p>
      <w:pPr>
        <w:pStyle w:val="Heading1"/>
      </w:pPr>
      <w:r>
        <w:t>3. Matters raised by management</w:t>
      </w:r>
    </w:p>
    <w:p>
      <w:r>
        <w:t>The Head of Treasury stated that the dealing room regards the rate tolerance in clause 6.3 of the policy as guidance rather than a hard limit in fast markets, and that escalation of out-of-tolerance deals had not in practice occurred.</w:t>
      </w:r>
    </w:p>
    <w:p>
      <w:r>
        <w:t>The Head of Treasury Operations stated that settlement had on occasion been released against a confirmation that had not yet been matched, where the value date fell on the day of dealing.</w:t>
      </w:r>
    </w:p>
    <w:p>
      <w:r>
        <w:t>No exception report covering deals, confirmations or settlements has been produced for the period.</w:t>
      </w:r>
    </w:p>
    <w:p>
      <w:pPr>
        <w:pStyle w:val="Heading1"/>
      </w:pPr>
      <w:r>
        <w:t>4. Audit scope agreed</w:t>
      </w:r>
    </w:p>
    <w:p>
      <w:r>
        <w:t>Internal Audit will perform a risk-based review of treasury dealing, confirmation and settlement for the half year ended 30 June 2025, covering dealer and counterparty limit compliance, rate reasonableness, segregation of duties, confirmation and settlement timeliness and completeness, and settlement routing.</w:t>
      </w:r>
    </w:p>
    <w:p>
      <w:r>
        <w:t>Treasury will provide the deal, confirmation and settlement populations, the counterparty and dealer limit files, the independent market rate file, the standing settlement instruction file, and supporting documentation for a sample of deals.</w:t>
      </w:r>
    </w:p>
    <w:p>
      <w:r>
        <w:t>The Head of Internal Audit noted that the Treasury and Investment Policy carries a review date of 1 November 2024 which has passed, and asked that the current approved version be confirmed. The Chief Financial Officer undertook to revert.</w:t>
      </w:r>
    </w:p>
    <w:p/>
    <w:p>
      <w:r>
        <w:rPr>
          <w:i/>
        </w:rPr>
        <w:t>There being no other business the meeting closed at 11:40. Minutes taken by the Compliance Officer and circulated for comment; not yet signed as approved.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