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Geisha — immersive narration revision</w:t>
      </w:r>
    </w:p>
    <w:p>
      <w:r>
        <w:t>## Production status</w:t>
        <w:br/>
        <w:t>This replaces the hardship draft's academic narration. No new research is claimed for this editing pass. References and evidence qualifications belong here and in the description, not repeatedly in the voiceover. The narration retains one brief reconstruction disclosure and conditional wording for a suspension that does not actually occur in the story.</w:t>
      </w:r>
    </w:p>
    <w:p>
      <w:r>
        <w:t>The main setting is the earlier Yoshiwara registry regime described retrospectively by De Becker, following the office's reported founding in 1779. It is not a universally representative life across Edo Japan or a documented day in a specified year. Three entertainers, the earlier restrictions and the registry/performer division of fees are used consistently. The later two-person arrangement and Mitford's different troupe payment model are removed. The Meiji epilogue explicitly changes era and refers to other women.</w:t>
      </w:r>
    </w:p>
    <w:p>
      <w:r>
        <w:t>## Evidence actually used</w:t>
      </w:r>
    </w:p>
    <w:p>
      <w:r>
        <w:t>### Joseph De Becker, The Nightless City</w:t>
        <w:br/>
        <w:t>Third revised edition, with preface dated December 1905; first edition 1899. Sections “The Kembansho” and “Hokan and Geisha.”</w:t>
        <w:br/>
        <w:t>https://www.gutenberg.org/ebooks/69328</w:t>
        <w:br/>
        <w:t>Readable text consulted:</w:t>
        <w:br/>
        <w:t>https://raw.githubusercontent.com/GITenberg/The-nightless-city-or-the-history-of-the-Yoshiwara-Yukwaku_69328/master/69328-0.txt</w:t>
      </w:r>
    </w:p>
    <w:p>
      <w:r>
        <w:t>Supports the reported earlier registry foundation in 1779, plain crested clothing/white collars/limited ornaments, groups of three (later two), wooden name tickets reversed when engaged, attendants, restrictions on outings with guests and holiday exceptions, limits on sitting closely, investigation of suspected intimacy and one-to-three-day suspension, and division of fees between registry and performer with gratuity.</w:t>
      </w:r>
    </w:p>
    <w:p>
      <w:r>
        <w:t>**Limit:** this is a later retrospective account, not a modern peer-reviewed article, original regulation inspected in Japanese, or evidence that every regulation was uniformly obeyed. Its moralistic character judgements and racial/sexist assumptions are rejected. The original sources it cites have not been independently checked. The reconstructed regime's exact duration is not established. Do not attach a precise year to all events or call the restrictions universal Japanese law.</w:t>
      </w:r>
    </w:p>
    <w:p>
      <w:r>
        <w:t>The source alternates older and contemporary practices. The clean narration deliberately selects the older group/payment regime and avoids merging later arrangements into it. Source location for controls: search “Prior to the establishment of this” and “When a geisha was suspected”; remove formatting underscores if exact text search fails.</w:t>
      </w:r>
    </w:p>
    <w:p>
      <w:r>
        <w:t>### Jukichi Inouye, Home Life in Tokyo (1910)</w:t>
        <w:br/>
        <w:t>https://www.gutenberg.org/ebooks/65870</w:t>
        <w:br/>
        <w:t>https://raw.githubusercontent.com/GITenberg/Home-Life-in-Tokyo_65870/master/65870-0.txt</w:t>
        <w:br/>
        <w:t>Used narrowly for shamisen mechanics: three strings, neck, knee and plectrum. Not proof of a particular Edo daily schedule. Do not adopt its origin story or cultural judgements.</w:t>
      </w:r>
    </w:p>
    <w:p>
      <w:r>
        <w:t>### J. M. W. Silver, Sketches of Japanese Manners and Customs (1867), chapter X</w:t>
        <w:br/>
        <w:t>https://www.gutenberg.org/ebooks/13051</w:t>
        <w:br/>
        <w:t>https://raw.githubusercontent.com/GITenberg/Sketches-of-Japanese-Manners-and-Customs_13051/master/13051.txt</w:t>
        <w:br/>
        <w:t>Supports a pleasure-party illustration of a male guest dancing with a fan. Incorporating that kind of action into the composite party is dramatization, not identification of Silver's illustration as this specific geisha engagement. No fictional quoted dialogue or named patron.</w:t>
      </w:r>
    </w:p>
    <w:p>
      <w:r>
        <w:t>### Alice Mabel Bacon, Japanese Girls and Women (1891; revised 1902)</w:t>
        <w:br/>
        <w:t>https://www.gutenberg.org/ebooks/32449</w:t>
        <w:br/>
        <w:t>https://raw.githubusercontent.com/GITenberg/Japanese-Girls-and-WomenRevised-and-Enlarged-Edition_32449/master/32449.txt</w:t>
        <w:br/>
        <w:t>Later corroboration of the broad music/dance/conversation/sake-service activities. Not a direct Edo timetable. The occupational staging should not be mistaken for a verified sequence copied from this book. The previous standalone lecture on Bacon's moral judgement has been removed.</w:t>
      </w:r>
    </w:p>
    <w:p>
      <w:r>
        <w:t>### Amy Stanley, “Enlightenment Geisha: The Sex Trade, Education, and Feminine Ideals in Early Meiji Japan,” The Journal of Asian Studies 72(3), 2013, 539–562</w:t>
        <w:br/>
        <w:t>https://doi.org/10.1017/S0021911813000570</w:t>
        <w:br/>
        <w:t>https://www.cambridge.org/core/journals/journal-of-asian-studies/article/enlightenment-geisha-the-sex-trade-education-and-feminine-ideals-in-early-meiji-japan/87CF2FA279D4147D706D891993493438</w:t>
        <w:br/>
        <w:t>**Public publisher abstract and references consulted, not full article.** The abstract supports the epilogue's mid-1870s educational initiatives, donations, self-sufficiency/freedom claims and increasing exclusion by the 1880s from education and marriage-centred ideals. No inaccessible full-text detail or quotation is used. Clearly later than Edo.</w:t>
      </w:r>
    </w:p>
    <w:p>
      <w:r>
        <w:t>## Scene reconstruction boundaries</w:t>
        <w:br/>
        <w:t>The mirror, rehearsal, exchanged looks, an attentive guest, widened conversation, how the women help each other, sequence of party events, walk home and private responses are illustrative staging. They are not a recovered diary or eyewitness transcript. The suspension is a conditional consequence: the protagonist is not stated to have been convicted or punished. No invented actual debt, abuse, sale, punishment, client or specific child biography. The earlier childhood-purchase flashback is removed rather than silently backdating a later source to this protagonist.</w:t>
      </w:r>
    </w:p>
    <w:p>
      <w:r>
        <w:t>The changing attention, tiredness and relief are dramatized human experience, not individually verifiable mental states. The audience disclosure below is necessary for that distinction. No claim that every scene is an independently recorded event.</w:t>
      </w:r>
    </w:p>
    <w:p>
      <w:r>
        <w:t>## Description-ready disclosure</w:t>
        <w:br/>
        <w:t>This episode follows a composite adult geisha through a reconstructed working day in Edo's Yoshiwara. Its central restrictions are described retrospectively in Joseph De Becker's history; we have not independently inspected the original regulations, and these rules are not presented as universal across Japan. Private reactions and connective scenes are dramatized. The possible suspension is conditional, not a documented incident involving a named woman. The closing section moves explicitly into Meiji and the experiences of other women. Historical sources contain prejudices that the episode does not endorse.</w:t>
      </w:r>
    </w:p>
    <w:p>
      <w:r>
        <w:t>List the linked sources above. Label Stanley “public abstract consulted.” Do not imply that scholarly full texts or the original regulations were accessed. Further reading not personally consulted must be identified as such.</w:t>
      </w:r>
    </w:p>
    <w:p>
      <w:r>
        <w:t>## Visual and audio direction</w:t>
        <w:br/>
        <w:t>Hook: “Charm him. Don't get too close.” Begin with the guest turning towards the woman, followed by her noticing the other performers. Do not illustrate coercive grabbing or an assault that the narration does not claim.</w:t>
      </w:r>
    </w:p>
    <w:p>
      <w:r>
        <w:t>First seven words: target roughly three seconds, but measure the actual recording. Do not guarantee retention or fast-read the whole narration to meet the hook timing.</w:t>
      </w:r>
    </w:p>
    <w:p>
      <w:r>
        <w:t>One brief reconstruction sentence after the hook. Most frames should be illustrations showing the spoken object/action, not subtitles or decorative cards. Occasional plain ivory/white cards, narrow dark lettering, no illustrations or ornaments on the cards. Names/places/dates appear where introduced: Yoshiwara, Edo, Tokyo, kenban, 1779; “MEIJI ERA,” “1870s,” “1880s” for the epilogue. Source uses spelling kemban/kembansho; narration uses kenban for the registry office.</w:t>
      </w:r>
    </w:p>
    <w:p>
      <w:r>
        <w:t>Verify period clothes against appropriate dated references before asset generation. Plain crested kimono/white collar and restrained hair ornaments for this regime; no elaborate oiran costume, modern maiko default, Korean clothing or broad assumption that all historical geisha dressed this way.</w:t>
      </w:r>
    </w:p>
    <w:p>
      <w:r>
        <w:t>Maintain three adult entertainers in the main party. Three-string shamisen and plectrum, not koto or violin. Tickets are illustrative, not forged archival reproductions. Do not create an invented contract or debt amount. Suspension imagery must be marked as possible/imagined if shown; do not edit it as an event that actually happened. Payment visuals show registry and performer shares, no fabricated figures.</w:t>
      </w:r>
    </w:p>
    <w:p>
      <w:r>
        <w:t>Hard cuts when meaning changes. No automatic zooms, pans or transitions. Maintain clear 16:9 framing, varied actions and close object views. Quiet music/selective effects beneath narration. No production assets generated or video rendered in this revision.</w:t>
      </w:r>
    </w:p>
    <w:p>
      <w:r>
        <w:t>## Runtime</w:t>
        <w:br/>
        <w:t>2,866 whitespace-counted words. About 22 minutes at 130 words per minute overall; about 19 minutes at 150; about 16 at the user's previous 181-word pace. Exact audio duration not measured. Do not pad or stretch audio to claim 22 minutes. If the user's delivery remains fast, a truly 22-minute version requires additional independently supported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