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Loan Decision Audit Storage Design</w:t>
      </w:r>
    </w:p>
    <w:p>
      <w:pPr>
        <w:spacing w:after="240"/>
      </w:pPr>
      <w:r>
        <w:rPr>
          <w:color w:val="167D9A"/>
          <w:sz w:val="22"/>
        </w:rPr>
        <w:t>Person 1 deliverable  |  Iceberg schema, data contracts and lineage</w:t>
      </w:r>
    </w:p>
    <w:p>
      <w:r>
        <w:t>Design decision. Store each demonstration prediction as an immutable audit event linked to the exact, minimized input snapshot, explanation payload and immutable model build. Use Apache Iceberg tables backed by Parquet with Zstandard compression, date-based partitions, and retained snapshots so the team can retrieve and reproduce a past decision.</w:t>
      </w:r>
    </w:p>
    <w:p>
      <w:pPr>
        <w:pStyle w:val="Heading1"/>
      </w:pPr>
      <w:r>
        <w:t>Scope and dataset choice</w:t>
      </w:r>
    </w:p>
    <w:p>
      <w:r>
        <w:t>The assignment suggests Home Credit Default Risk, while the supplied project CSV is the Lending Club loan-granting dataset. Its source record reports 1,347,681 loan records; the local file has 15 columns. The CSV target `Default` records final repayment status (fully paid versus default), not an original accept/deny outcome. The service must therefore label generated outputs as demonstration risk decisions and must never describe the dataset target as a historical lending decision.</w:t>
      </w:r>
    </w:p>
    <w:p>
      <w:r>
        <w:t>Privacy gate. The dataset source describes borrower-provided financial, employment, home ownership, state, ZIP and free-text fields. Because the project brief prohibits real personal data, this design uses synthetic loan applications for implementation and examples. Do not load the supplied CSV into the project lakehouse unless the instructor confirms it satisfies the rule. Omit `title`, `desc`, raw ZIP and source loan IDs from model inputs and audit payloads in all cases.</w:t>
      </w:r>
    </w:p>
    <w:p>
      <w:pPr>
        <w:pStyle w:val="Heading1"/>
      </w:pPr>
      <w:r>
        <w:t>Logical architecture</w:t>
      </w:r>
    </w:p>
    <w:tbl>
      <w:tblPr>
        <w:tblStyle w:val="TableGrid"/>
        <w:tblW w:type="auto" w:w="0"/>
        <w:tblLook w:firstColumn="1" w:firstRow="1" w:lastColumn="0" w:lastRow="0" w:noHBand="0" w:noVBand="1" w:val="04A0"/>
      </w:tblPr>
      <w:tblGrid>
        <w:gridCol w:w="10166"/>
      </w:tblGrid>
      <w:tr>
        <w:tc>
          <w:tcPr>
            <w:tcW w:type="dxa" w:w="10166"/>
            <w:shd w:fill="F1F6F8"/>
          </w:tcPr>
          <w:p>
            <w:pPr>
              <w:spacing w:after="0"/>
            </w:pPr>
            <w:r/>
            <w:r>
              <w:rPr>
                <w:rFonts w:ascii="Consolas" w:hAnsi="Consolas"/>
                <w:color w:val="123047"/>
                <w:sz w:val="14"/>
              </w:rPr>
              <w:t>Synthetic application  →  feature transform  →  model + explainer</w:t>
            </w:r>
          </w:p>
          <w:p>
            <w:pPr>
              <w:spacing w:after="0"/>
            </w:pPr>
            <w:r>
              <w:rPr>
                <w:rFonts w:ascii="Consolas" w:hAnsi="Consolas"/>
                <w:color w:val="123047"/>
                <w:sz w:val="14"/>
              </w:rPr>
              <w:t xml:space="preserve">                                  │                   │</w:t>
            </w:r>
          </w:p>
          <w:p>
            <w:pPr>
              <w:spacing w:after="0"/>
            </w:pPr>
            <w:r>
              <w:rPr>
                <w:rFonts w:ascii="Consolas" w:hAnsi="Consolas"/>
                <w:color w:val="123047"/>
                <w:sz w:val="14"/>
              </w:rPr>
              <w:t xml:space="preserve">                                  └──── prediction event ────┐</w:t>
            </w:r>
          </w:p>
          <w:p>
            <w:pPr>
              <w:spacing w:after="0"/>
            </w:pPr>
            <w:r>
              <w:rPr>
                <w:rFonts w:ascii="Consolas" w:hAnsi="Consolas"/>
                <w:color w:val="123047"/>
                <w:sz w:val="14"/>
              </w:rPr>
              <w:t xml:space="preserve">                                                             ↓</w:t>
            </w:r>
          </w:p>
          <w:p>
            <w:pPr>
              <w:spacing w:after="0"/>
            </w:pPr>
            <w:r>
              <w:rPr>
                <w:rFonts w:ascii="Consolas" w:hAnsi="Consolas"/>
                <w:color w:val="123047"/>
                <w:sz w:val="14"/>
              </w:rPr>
              <w:t xml:space="preserve"> Iceberg: prediction_events ── input_snapshots ── explanation_records</w:t>
            </w:r>
          </w:p>
          <w:p>
            <w:pPr>
              <w:spacing w:after="0"/>
            </w:pPr>
            <w:r>
              <w:rPr>
                <w:rFonts w:ascii="Consolas" w:hAnsi="Consolas"/>
                <w:color w:val="123047"/>
                <w:sz w:val="14"/>
              </w:rPr>
              <w:t xml:space="preserve">                    │                                  │</w:t>
            </w:r>
          </w:p>
          <w:p>
            <w:pPr>
              <w:spacing w:after="0"/>
            </w:pPr>
            <w:r>
              <w:rPr>
                <w:rFonts w:ascii="Consolas" w:hAnsi="Consolas"/>
                <w:color w:val="123047"/>
                <w:sz w:val="14"/>
              </w:rPr>
              <w:t xml:space="preserve">                    └──────── model_registry ──────────┘</w:t>
            </w:r>
          </w:p>
          <w:p>
            <w:pPr>
              <w:spacing w:after="0"/>
            </w:pPr>
            <w:r>
              <w:rPr>
                <w:rFonts w:ascii="Consolas" w:hAnsi="Consolas"/>
                <w:color w:val="123047"/>
                <w:sz w:val="14"/>
              </w:rPr>
              <w:t xml:space="preserve">       Parquet + ZSTD  |  object storage  |  Iceberg snapshot history</w:t>
            </w:r>
          </w:p>
        </w:tc>
      </w:tr>
    </w:tbl>
    <w:p>
      <w:pPr>
        <w:spacing w:after="0"/>
      </w:pPr>
    </w:p>
    <w:p>
      <w:r>
        <w:t>One prediction event is the audit anchor. It records a generated decision and stable foreign keys; separate immutable tables keep snapshots, explanations and model metadata independently queryable and reusable.</w:t>
      </w:r>
    </w:p>
    <w:p>
      <w:r>
        <w:br w:type="page"/>
      </w:r>
    </w:p>
    <w:p>
      <w:pPr>
        <w:pStyle w:val="Heading1"/>
      </w:pPr>
      <w:r>
        <w:t>Entity model and table contracts</w:t>
      </w:r>
    </w:p>
    <w:p>
      <w:r>
        <w:t>The four tables below form the logical ERD. Identifiers are generated UUIDs, not borrower or source-dataset IDs. Enforce uniqueness and referential checks in the write pipeline because Iceberg does not enforce primary-key or foreign-key constraints.</w:t>
      </w:r>
    </w:p>
    <w:tbl>
      <w:tblPr>
        <w:tblStyle w:val="TableGrid"/>
        <w:tblW w:type="auto" w:w="0"/>
        <w:tblLook w:firstColumn="1" w:firstRow="1" w:lastColumn="0" w:lastRow="0" w:noHBand="0" w:noVBand="1" w:val="04A0"/>
      </w:tblPr>
      <w:tblGrid>
        <w:gridCol w:w="10166"/>
      </w:tblGrid>
      <w:tr>
        <w:tc>
          <w:tcPr>
            <w:tcW w:type="dxa" w:w="10166"/>
            <w:shd w:fill="F1F6F8"/>
          </w:tcPr>
          <w:p>
            <w:pPr>
              <w:spacing w:after="0"/>
            </w:pPr>
            <w:r/>
            <w:r>
              <w:rPr>
                <w:rFonts w:ascii="Consolas" w:hAnsi="Consolas"/>
                <w:color w:val="123047"/>
                <w:sz w:val="14"/>
              </w:rPr>
              <w:t>model_registry  1 ───── * prediction_events * ───── 1 input_snapshots</w:t>
            </w:r>
          </w:p>
          <w:p>
            <w:pPr>
              <w:spacing w:after="0"/>
            </w:pPr>
            <w:r>
              <w:rPr>
                <w:rFonts w:ascii="Consolas" w:hAnsi="Consolas"/>
                <w:color w:val="123047"/>
                <w:sz w:val="14"/>
              </w:rPr>
              <w:t xml:space="preserve">                                  │ 1</w:t>
            </w:r>
          </w:p>
          <w:p>
            <w:pPr>
              <w:spacing w:after="0"/>
            </w:pPr>
            <w:r>
              <w:rPr>
                <w:rFonts w:ascii="Consolas" w:hAnsi="Consolas"/>
                <w:color w:val="123047"/>
                <w:sz w:val="14"/>
              </w:rPr>
              <w:t xml:space="preserve">                                  │</w:t>
            </w:r>
          </w:p>
          <w:p>
            <w:pPr>
              <w:spacing w:after="0"/>
            </w:pPr>
            <w:r>
              <w:rPr>
                <w:rFonts w:ascii="Consolas" w:hAnsi="Consolas"/>
                <w:color w:val="123047"/>
                <w:sz w:val="14"/>
              </w:rPr>
              <w:t xml:space="preserve">                                  1</w:t>
            </w:r>
          </w:p>
          <w:p>
            <w:pPr>
              <w:spacing w:after="0"/>
            </w:pPr>
            <w:r>
              <w:rPr>
                <w:rFonts w:ascii="Consolas" w:hAnsi="Consolas"/>
                <w:color w:val="123047"/>
                <w:sz w:val="14"/>
              </w:rPr>
              <w:t xml:space="preserve">                         explanation_records</w:t>
            </w:r>
          </w:p>
        </w:tc>
      </w:tr>
    </w:tbl>
    <w:p>
      <w:pPr>
        <w:spacing w:after="0"/>
      </w:pPr>
    </w:p>
    <w:p>
      <w:pPr>
        <w:pStyle w:val="Heading2"/>
      </w:pPr>
      <w:r>
        <w:t>Table responsibilities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160"/>
            <w:vAlign w:val="center"/>
            <w:shd w:fill="123047"/>
          </w:tcPr>
          <w:p>
            <w:pPr>
              <w:spacing w:after="0"/>
            </w:pPr>
            <w:r/>
            <w:r>
              <w:rPr>
                <w:rFonts w:ascii="Aptos" w:hAnsi="Aptos"/>
                <w:b/>
                <w:color w:val="FFFFFF"/>
                <w:sz w:val="14"/>
              </w:rPr>
              <w:t>Table</w:t>
            </w:r>
          </w:p>
        </w:tc>
        <w:tc>
          <w:tcPr>
            <w:tcW w:type="dxa" w:w="2880"/>
            <w:vAlign w:val="center"/>
            <w:shd w:fill="123047"/>
          </w:tcPr>
          <w:p>
            <w:pPr>
              <w:spacing w:after="0"/>
            </w:pPr>
            <w:r/>
            <w:r>
              <w:rPr>
                <w:rFonts w:ascii="Aptos" w:hAnsi="Aptos"/>
                <w:b/>
                <w:color w:val="FFFFFF"/>
                <w:sz w:val="14"/>
              </w:rPr>
              <w:t>Grain / key</w:t>
            </w:r>
          </w:p>
        </w:tc>
        <w:tc>
          <w:tcPr>
            <w:tcW w:type="dxa" w:w="5328"/>
            <w:vAlign w:val="center"/>
            <w:shd w:fill="123047"/>
          </w:tcPr>
          <w:p>
            <w:pPr>
              <w:spacing w:after="0"/>
            </w:pPr>
            <w:r/>
            <w:r>
              <w:rPr>
                <w:rFonts w:ascii="Aptos" w:hAnsi="Aptos"/>
                <w:b/>
                <w:color w:val="FFFFFF"/>
                <w:sz w:val="14"/>
              </w:rPr>
              <w:t>Purpose</w:t>
            </w:r>
          </w:p>
        </w:tc>
      </w:tr>
      <w:tr>
        <w:tc>
          <w:tcPr>
            <w:tcW w:type="dxa" w:w="2160"/>
            <w:vAlign w:val="center"/>
          </w:tcPr>
          <w:p>
            <w:pPr>
              <w:spacing w:after="0"/>
            </w:pPr>
            <w:r/>
            <w:r>
              <w:rPr>
                <w:rFonts w:ascii="Aptos" w:hAnsi="Aptos"/>
                <w:b w:val="0"/>
                <w:color w:val="2D3742"/>
                <w:sz w:val="14"/>
              </w:rPr>
              <w:t>prediction_events</w:t>
            </w:r>
          </w:p>
        </w:tc>
        <w:tc>
          <w:tcPr>
            <w:tcW w:type="dxa" w:w="2880"/>
            <w:vAlign w:val="center"/>
          </w:tcPr>
          <w:p>
            <w:pPr>
              <w:spacing w:after="0"/>
            </w:pPr>
            <w:r/>
            <w:r>
              <w:rPr>
                <w:rFonts w:ascii="Aptos" w:hAnsi="Aptos"/>
                <w:b w:val="0"/>
                <w:color w:val="2D3742"/>
                <w:sz w:val="14"/>
              </w:rPr>
              <w:t>One row per scoring call; `prediction_id`</w:t>
            </w:r>
          </w:p>
        </w:tc>
        <w:tc>
          <w:tcPr>
            <w:tcW w:type="dxa" w:w="5328"/>
            <w:vAlign w:val="center"/>
          </w:tcPr>
          <w:p>
            <w:pPr>
              <w:spacing w:after="0"/>
            </w:pPr>
            <w:r/>
            <w:r>
              <w:rPr>
                <w:rFonts w:ascii="Aptos" w:hAnsi="Aptos"/>
                <w:b w:val="0"/>
                <w:color w:val="2D3742"/>
                <w:sz w:val="14"/>
              </w:rPr>
              <w:t>Decision, score, time, model and links to the exact input and explanation.</w:t>
            </w:r>
          </w:p>
        </w:tc>
      </w:tr>
      <w:tr>
        <w:tc>
          <w:tcPr>
            <w:tcW w:type="dxa" w:w="2160"/>
            <w:vAlign w:val="center"/>
            <w:shd w:fill="F1F6F8"/>
          </w:tcPr>
          <w:p>
            <w:pPr>
              <w:spacing w:after="0"/>
            </w:pPr>
            <w:r/>
            <w:r>
              <w:rPr>
                <w:rFonts w:ascii="Aptos" w:hAnsi="Aptos"/>
                <w:b w:val="0"/>
                <w:color w:val="2D3742"/>
                <w:sz w:val="14"/>
              </w:rPr>
              <w:t>input_snapshots</w:t>
            </w:r>
          </w:p>
        </w:tc>
        <w:tc>
          <w:tcPr>
            <w:tcW w:type="dxa" w:w="2880"/>
            <w:vAlign w:val="center"/>
            <w:shd w:fill="F1F6F8"/>
          </w:tcPr>
          <w:p>
            <w:pPr>
              <w:spacing w:after="0"/>
            </w:pPr>
            <w:r/>
            <w:r>
              <w:rPr>
                <w:rFonts w:ascii="Aptos" w:hAnsi="Aptos"/>
                <w:b w:val="0"/>
                <w:color w:val="2D3742"/>
                <w:sz w:val="14"/>
              </w:rPr>
              <w:t>One row per prediction; `input_snapshot_id`</w:t>
            </w:r>
          </w:p>
        </w:tc>
        <w:tc>
          <w:tcPr>
            <w:tcW w:type="dxa" w:w="5328"/>
            <w:vAlign w:val="center"/>
            <w:shd w:fill="F1F6F8"/>
          </w:tcPr>
          <w:p>
            <w:pPr>
              <w:spacing w:after="0"/>
            </w:pPr>
            <w:r/>
            <w:r>
              <w:rPr>
                <w:rFonts w:ascii="Aptos" w:hAnsi="Aptos"/>
                <w:b w:val="0"/>
                <w:color w:val="2D3742"/>
                <w:sz w:val="14"/>
              </w:rPr>
              <w:t>Canonical post-transform values actually passed to the model, plus hash and schema version.</w:t>
            </w:r>
          </w:p>
        </w:tc>
      </w:tr>
      <w:tr>
        <w:tc>
          <w:tcPr>
            <w:tcW w:type="dxa" w:w="2160"/>
            <w:vAlign w:val="center"/>
          </w:tcPr>
          <w:p>
            <w:pPr>
              <w:spacing w:after="0"/>
            </w:pPr>
            <w:r/>
            <w:r>
              <w:rPr>
                <w:rFonts w:ascii="Aptos" w:hAnsi="Aptos"/>
                <w:b w:val="0"/>
                <w:color w:val="2D3742"/>
                <w:sz w:val="14"/>
              </w:rPr>
              <w:t>explanation_records</w:t>
            </w:r>
          </w:p>
        </w:tc>
        <w:tc>
          <w:tcPr>
            <w:tcW w:type="dxa" w:w="2880"/>
            <w:vAlign w:val="center"/>
          </w:tcPr>
          <w:p>
            <w:pPr>
              <w:spacing w:after="0"/>
            </w:pPr>
            <w:r/>
            <w:r>
              <w:rPr>
                <w:rFonts w:ascii="Aptos" w:hAnsi="Aptos"/>
                <w:b w:val="0"/>
                <w:color w:val="2D3742"/>
                <w:sz w:val="14"/>
              </w:rPr>
              <w:t>One row per prediction; `explanation_id`</w:t>
            </w:r>
          </w:p>
        </w:tc>
        <w:tc>
          <w:tcPr>
            <w:tcW w:type="dxa" w:w="5328"/>
            <w:vAlign w:val="center"/>
          </w:tcPr>
          <w:p>
            <w:pPr>
              <w:spacing w:after="0"/>
            </w:pPr>
            <w:r/>
            <w:r>
              <w:rPr>
                <w:rFonts w:ascii="Aptos" w:hAnsi="Aptos"/>
                <w:b w:val="0"/>
                <w:color w:val="2D3742"/>
                <w:sz w:val="14"/>
              </w:rPr>
              <w:t>Method/version, output, ranked feature contributions and concise reason codes.</w:t>
            </w:r>
          </w:p>
        </w:tc>
      </w:tr>
      <w:tr>
        <w:tc>
          <w:tcPr>
            <w:tcW w:type="dxa" w:w="2160"/>
            <w:vAlign w:val="center"/>
            <w:shd w:fill="F1F6F8"/>
          </w:tcPr>
          <w:p>
            <w:pPr>
              <w:spacing w:after="0"/>
            </w:pPr>
            <w:r/>
            <w:r>
              <w:rPr>
                <w:rFonts w:ascii="Aptos" w:hAnsi="Aptos"/>
                <w:b w:val="0"/>
                <w:color w:val="2D3742"/>
                <w:sz w:val="14"/>
              </w:rPr>
              <w:t>model_registry</w:t>
            </w:r>
          </w:p>
        </w:tc>
        <w:tc>
          <w:tcPr>
            <w:tcW w:type="dxa" w:w="2880"/>
            <w:vAlign w:val="center"/>
            <w:shd w:fill="F1F6F8"/>
          </w:tcPr>
          <w:p>
            <w:pPr>
              <w:spacing w:after="0"/>
            </w:pPr>
            <w:r/>
            <w:r>
              <w:rPr>
                <w:rFonts w:ascii="Aptos" w:hAnsi="Aptos"/>
                <w:b w:val="0"/>
                <w:color w:val="2D3742"/>
                <w:sz w:val="14"/>
              </w:rPr>
              <w:t>One row per immutable model build; `model_version`</w:t>
            </w:r>
          </w:p>
        </w:tc>
        <w:tc>
          <w:tcPr>
            <w:tcW w:type="dxa" w:w="5328"/>
            <w:vAlign w:val="center"/>
            <w:shd w:fill="F1F6F8"/>
          </w:tcPr>
          <w:p>
            <w:pPr>
              <w:spacing w:after="0"/>
            </w:pPr>
            <w:r/>
            <w:r>
              <w:rPr>
                <w:rFonts w:ascii="Aptos" w:hAnsi="Aptos"/>
                <w:b w:val="0"/>
                <w:color w:val="2D3742"/>
                <w:sz w:val="14"/>
              </w:rPr>
              <w:t>Artifact digest/URI, feature pipeline, training data lineage and reproducibility metadata.</w:t>
            </w:r>
          </w:p>
        </w:tc>
      </w:tr>
    </w:tbl>
    <w:p>
      <w:pPr>
        <w:spacing w:after="0"/>
      </w:pPr>
    </w:p>
    <w:p>
      <w:pPr>
        <w:pStyle w:val="Heading2"/>
      </w:pPr>
      <w:r>
        <w:t>Prediction events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vAlign w:val="center"/>
            <w:shd w:fill="123047"/>
          </w:tcPr>
          <w:p>
            <w:pPr>
              <w:spacing w:after="0"/>
            </w:pPr>
            <w:r/>
            <w:r>
              <w:rPr>
                <w:rFonts w:ascii="Aptos" w:hAnsi="Aptos"/>
                <w:b/>
                <w:color w:val="FFFFFF"/>
                <w:sz w:val="14"/>
              </w:rPr>
              <w:t>Field</w:t>
            </w:r>
          </w:p>
        </w:tc>
        <w:tc>
          <w:tcPr>
            <w:tcW w:type="dxa" w:w="2088"/>
            <w:vAlign w:val="center"/>
            <w:shd w:fill="123047"/>
          </w:tcPr>
          <w:p>
            <w:pPr>
              <w:spacing w:after="0"/>
            </w:pPr>
            <w:r/>
            <w:r>
              <w:rPr>
                <w:rFonts w:ascii="Aptos" w:hAnsi="Aptos"/>
                <w:b/>
                <w:color w:val="FFFFFF"/>
                <w:sz w:val="14"/>
              </w:rPr>
              <w:t>Type</w:t>
            </w:r>
          </w:p>
        </w:tc>
        <w:tc>
          <w:tcPr>
            <w:tcW w:type="dxa" w:w="6048"/>
            <w:vAlign w:val="center"/>
            <w:shd w:fill="123047"/>
          </w:tcPr>
          <w:p>
            <w:pPr>
              <w:spacing w:after="0"/>
            </w:pPr>
            <w:r/>
            <w:r>
              <w:rPr>
                <w:rFonts w:ascii="Aptos" w:hAnsi="Aptos"/>
                <w:b/>
                <w:color w:val="FFFFFF"/>
                <w:sz w:val="14"/>
              </w:rPr>
              <w:t>Contract</w:t>
            </w:r>
          </w:p>
        </w:tc>
      </w:tr>
      <w:tr>
        <w:tc>
          <w:tcPr>
            <w:tcW w:type="dxa" w:w="2232"/>
            <w:vAlign w:val="center"/>
          </w:tcPr>
          <w:p>
            <w:pPr>
              <w:spacing w:after="0"/>
            </w:pPr>
            <w:r/>
            <w:r>
              <w:rPr>
                <w:rFonts w:ascii="Aptos" w:hAnsi="Aptos"/>
                <w:b w:val="0"/>
                <w:color w:val="2D3742"/>
                <w:sz w:val="14"/>
              </w:rPr>
              <w:t>prediction_id</w:t>
            </w:r>
          </w:p>
        </w:tc>
        <w:tc>
          <w:tcPr>
            <w:tcW w:type="dxa" w:w="2088"/>
            <w:vAlign w:val="center"/>
          </w:tcPr>
          <w:p>
            <w:pPr>
              <w:spacing w:after="0"/>
            </w:pPr>
            <w:r/>
            <w:r>
              <w:rPr>
                <w:rFonts w:ascii="Aptos" w:hAnsi="Aptos"/>
                <w:b w:val="0"/>
                <w:color w:val="2D3742"/>
                <w:sz w:val="14"/>
              </w:rPr>
              <w:t>string / UUID</w:t>
            </w:r>
          </w:p>
        </w:tc>
        <w:tc>
          <w:tcPr>
            <w:tcW w:type="dxa" w:w="6048"/>
            <w:vAlign w:val="center"/>
          </w:tcPr>
          <w:p>
            <w:pPr>
              <w:spacing w:after="0"/>
            </w:pPr>
            <w:r/>
            <w:r>
              <w:rPr>
                <w:rFonts w:ascii="Aptos" w:hAnsi="Aptos"/>
                <w:b w:val="0"/>
                <w:color w:val="2D3742"/>
                <w:sz w:val="14"/>
              </w:rPr>
              <w:t>Required, unique, generated per request.</w:t>
            </w:r>
          </w:p>
        </w:tc>
      </w:tr>
      <w:tr>
        <w:tc>
          <w:tcPr>
            <w:tcW w:type="dxa" w:w="2232"/>
            <w:vAlign w:val="center"/>
            <w:shd w:fill="F1F6F8"/>
          </w:tcPr>
          <w:p>
            <w:pPr>
              <w:spacing w:after="0"/>
            </w:pPr>
            <w:r/>
            <w:r>
              <w:rPr>
                <w:rFonts w:ascii="Aptos" w:hAnsi="Aptos"/>
                <w:b w:val="0"/>
                <w:color w:val="2D3742"/>
                <w:sz w:val="14"/>
              </w:rPr>
              <w:t>decision_ts</w:t>
            </w:r>
          </w:p>
        </w:tc>
        <w:tc>
          <w:tcPr>
            <w:tcW w:type="dxa" w:w="2088"/>
            <w:vAlign w:val="center"/>
            <w:shd w:fill="F1F6F8"/>
          </w:tcPr>
          <w:p>
            <w:pPr>
              <w:spacing w:after="0"/>
            </w:pPr>
            <w:r/>
            <w:r>
              <w:rPr>
                <w:rFonts w:ascii="Aptos" w:hAnsi="Aptos"/>
                <w:b w:val="0"/>
                <w:color w:val="2D3742"/>
                <w:sz w:val="14"/>
              </w:rPr>
              <w:t>timestamp(6), UTC</w:t>
            </w:r>
          </w:p>
        </w:tc>
        <w:tc>
          <w:tcPr>
            <w:tcW w:type="dxa" w:w="6048"/>
            <w:vAlign w:val="center"/>
            <w:shd w:fill="F1F6F8"/>
          </w:tcPr>
          <w:p>
            <w:pPr>
              <w:spacing w:after="0"/>
            </w:pPr>
            <w:r/>
            <w:r>
              <w:rPr>
                <w:rFonts w:ascii="Aptos" w:hAnsi="Aptos"/>
                <w:b w:val="0"/>
                <w:color w:val="2D3742"/>
                <w:sz w:val="14"/>
              </w:rPr>
              <w:t>Required event time; never inferred from source issue month.</w:t>
            </w:r>
          </w:p>
        </w:tc>
      </w:tr>
      <w:tr>
        <w:tc>
          <w:tcPr>
            <w:tcW w:type="dxa" w:w="2232"/>
            <w:vAlign w:val="center"/>
          </w:tcPr>
          <w:p>
            <w:pPr>
              <w:spacing w:after="0"/>
            </w:pPr>
            <w:r/>
            <w:r>
              <w:rPr>
                <w:rFonts w:ascii="Aptos" w:hAnsi="Aptos"/>
                <w:b w:val="0"/>
                <w:color w:val="2D3742"/>
                <w:sz w:val="14"/>
              </w:rPr>
              <w:t>decision_date</w:t>
            </w:r>
          </w:p>
        </w:tc>
        <w:tc>
          <w:tcPr>
            <w:tcW w:type="dxa" w:w="2088"/>
            <w:vAlign w:val="center"/>
          </w:tcPr>
          <w:p>
            <w:pPr>
              <w:spacing w:after="0"/>
            </w:pPr>
            <w:r/>
            <w:r>
              <w:rPr>
                <w:rFonts w:ascii="Aptos" w:hAnsi="Aptos"/>
                <w:b w:val="0"/>
                <w:color w:val="2D3742"/>
                <w:sz w:val="14"/>
              </w:rPr>
              <w:t>date</w:t>
            </w:r>
          </w:p>
        </w:tc>
        <w:tc>
          <w:tcPr>
            <w:tcW w:type="dxa" w:w="6048"/>
            <w:vAlign w:val="center"/>
          </w:tcPr>
          <w:p>
            <w:pPr>
              <w:spacing w:after="0"/>
            </w:pPr>
            <w:r/>
            <w:r>
              <w:rPr>
                <w:rFonts w:ascii="Aptos" w:hAnsi="Aptos"/>
                <w:b w:val="0"/>
                <w:color w:val="2D3742"/>
                <w:sz w:val="14"/>
              </w:rPr>
              <w:t>Required derived partition field from `decision_ts`.</w:t>
            </w:r>
          </w:p>
        </w:tc>
      </w:tr>
      <w:tr>
        <w:tc>
          <w:tcPr>
            <w:tcW w:type="dxa" w:w="2232"/>
            <w:vAlign w:val="center"/>
            <w:shd w:fill="F1F6F8"/>
          </w:tcPr>
          <w:p>
            <w:pPr>
              <w:spacing w:after="0"/>
            </w:pPr>
            <w:r/>
            <w:r>
              <w:rPr>
                <w:rFonts w:ascii="Aptos" w:hAnsi="Aptos"/>
                <w:b w:val="0"/>
                <w:color w:val="2D3742"/>
                <w:sz w:val="14"/>
              </w:rPr>
              <w:t>demo_decision</w:t>
            </w:r>
          </w:p>
        </w:tc>
        <w:tc>
          <w:tcPr>
            <w:tcW w:type="dxa" w:w="2088"/>
            <w:vAlign w:val="center"/>
            <w:shd w:fill="F1F6F8"/>
          </w:tcPr>
          <w:p>
            <w:pPr>
              <w:spacing w:after="0"/>
            </w:pPr>
            <w:r/>
            <w:r>
              <w:rPr>
                <w:rFonts w:ascii="Aptos" w:hAnsi="Aptos"/>
                <w:b w:val="0"/>
                <w:color w:val="2D3742"/>
                <w:sz w:val="14"/>
              </w:rPr>
              <w:t>string enum</w:t>
            </w:r>
          </w:p>
        </w:tc>
        <w:tc>
          <w:tcPr>
            <w:tcW w:type="dxa" w:w="6048"/>
            <w:vAlign w:val="center"/>
            <w:shd w:fill="F1F6F8"/>
          </w:tcPr>
          <w:p>
            <w:pPr>
              <w:spacing w:after="0"/>
            </w:pPr>
            <w:r/>
            <w:r>
              <w:rPr>
                <w:rFonts w:ascii="Aptos" w:hAnsi="Aptos"/>
                <w:b w:val="0"/>
                <w:color w:val="2D3742"/>
                <w:sz w:val="14"/>
              </w:rPr>
              <w:t>APPROVE / REVIEW / DECLINE under documented demo threshold policy.</w:t>
            </w:r>
          </w:p>
        </w:tc>
      </w:tr>
      <w:tr>
        <w:tc>
          <w:tcPr>
            <w:tcW w:type="dxa" w:w="2232"/>
            <w:vAlign w:val="center"/>
          </w:tcPr>
          <w:p>
            <w:pPr>
              <w:spacing w:after="0"/>
            </w:pPr>
            <w:r/>
            <w:r>
              <w:rPr>
                <w:rFonts w:ascii="Aptos" w:hAnsi="Aptos"/>
                <w:b w:val="0"/>
                <w:color w:val="2D3742"/>
                <w:sz w:val="14"/>
              </w:rPr>
              <w:t>risk_score</w:t>
            </w:r>
          </w:p>
        </w:tc>
        <w:tc>
          <w:tcPr>
            <w:tcW w:type="dxa" w:w="2088"/>
            <w:vAlign w:val="center"/>
          </w:tcPr>
          <w:p>
            <w:pPr>
              <w:spacing w:after="0"/>
            </w:pPr>
            <w:r/>
            <w:r>
              <w:rPr>
                <w:rFonts w:ascii="Aptos" w:hAnsi="Aptos"/>
                <w:b w:val="0"/>
                <w:color w:val="2D3742"/>
                <w:sz w:val="14"/>
              </w:rPr>
              <w:t>double</w:t>
            </w:r>
          </w:p>
        </w:tc>
        <w:tc>
          <w:tcPr>
            <w:tcW w:type="dxa" w:w="6048"/>
            <w:vAlign w:val="center"/>
          </w:tcPr>
          <w:p>
            <w:pPr>
              <w:spacing w:after="0"/>
            </w:pPr>
            <w:r/>
            <w:r>
              <w:rPr>
                <w:rFonts w:ascii="Aptos" w:hAnsi="Aptos"/>
                <w:b w:val="0"/>
                <w:color w:val="2D3742"/>
                <w:sz w:val="14"/>
              </w:rPr>
              <w:t>Finite [0,1]; document score meaning and threshold mapping.</w:t>
            </w:r>
          </w:p>
        </w:tc>
      </w:tr>
      <w:tr>
        <w:tc>
          <w:tcPr>
            <w:tcW w:type="dxa" w:w="2232"/>
            <w:vAlign w:val="center"/>
            <w:shd w:fill="F1F6F8"/>
          </w:tcPr>
          <w:p>
            <w:pPr>
              <w:spacing w:after="0"/>
            </w:pPr>
            <w:r/>
            <w:r>
              <w:rPr>
                <w:rFonts w:ascii="Aptos" w:hAnsi="Aptos"/>
                <w:b w:val="0"/>
                <w:color w:val="2D3742"/>
                <w:sz w:val="14"/>
              </w:rPr>
              <w:t>model_version</w:t>
            </w:r>
          </w:p>
        </w:tc>
        <w:tc>
          <w:tcPr>
            <w:tcW w:type="dxa" w:w="2088"/>
            <w:vAlign w:val="center"/>
            <w:shd w:fill="F1F6F8"/>
          </w:tcPr>
          <w:p>
            <w:pPr>
              <w:spacing w:after="0"/>
            </w:pPr>
            <w:r/>
            <w:r>
              <w:rPr>
                <w:rFonts w:ascii="Aptos" w:hAnsi="Aptos"/>
                <w:b w:val="0"/>
                <w:color w:val="2D3742"/>
                <w:sz w:val="14"/>
              </w:rPr>
              <w:t>string</w:t>
            </w:r>
          </w:p>
        </w:tc>
        <w:tc>
          <w:tcPr>
            <w:tcW w:type="dxa" w:w="6048"/>
            <w:vAlign w:val="center"/>
            <w:shd w:fill="F1F6F8"/>
          </w:tcPr>
          <w:p>
            <w:pPr>
              <w:spacing w:after="0"/>
            </w:pPr>
            <w:r/>
            <w:r>
              <w:rPr>
                <w:rFonts w:ascii="Aptos" w:hAnsi="Aptos"/>
                <w:b w:val="0"/>
                <w:color w:val="2D3742"/>
                <w:sz w:val="14"/>
              </w:rPr>
              <w:t>Required exact immutable model build key.</w:t>
            </w:r>
          </w:p>
        </w:tc>
      </w:tr>
      <w:tr>
        <w:tc>
          <w:tcPr>
            <w:tcW w:type="dxa" w:w="2232"/>
            <w:vAlign w:val="center"/>
          </w:tcPr>
          <w:p>
            <w:pPr>
              <w:spacing w:after="0"/>
            </w:pPr>
            <w:r/>
            <w:r>
              <w:rPr>
                <w:rFonts w:ascii="Aptos" w:hAnsi="Aptos"/>
                <w:b w:val="0"/>
                <w:color w:val="2D3742"/>
                <w:sz w:val="14"/>
              </w:rPr>
              <w:t>input_snapshot_id</w:t>
            </w:r>
          </w:p>
        </w:tc>
        <w:tc>
          <w:tcPr>
            <w:tcW w:type="dxa" w:w="2088"/>
            <w:vAlign w:val="center"/>
          </w:tcPr>
          <w:p>
            <w:pPr>
              <w:spacing w:after="0"/>
            </w:pPr>
            <w:r/>
            <w:r>
              <w:rPr>
                <w:rFonts w:ascii="Aptos" w:hAnsi="Aptos"/>
                <w:b w:val="0"/>
                <w:color w:val="2D3742"/>
                <w:sz w:val="14"/>
              </w:rPr>
              <w:t>string / UUID</w:t>
            </w:r>
          </w:p>
        </w:tc>
        <w:tc>
          <w:tcPr>
            <w:tcW w:type="dxa" w:w="6048"/>
            <w:vAlign w:val="center"/>
          </w:tcPr>
          <w:p>
            <w:pPr>
              <w:spacing w:after="0"/>
            </w:pPr>
            <w:r/>
            <w:r>
              <w:rPr>
                <w:rFonts w:ascii="Aptos" w:hAnsi="Aptos"/>
                <w:b w:val="0"/>
                <w:color w:val="2D3742"/>
                <w:sz w:val="14"/>
              </w:rPr>
              <w:t>Required link to immutable exact model input.</w:t>
            </w:r>
          </w:p>
        </w:tc>
      </w:tr>
      <w:tr>
        <w:tc>
          <w:tcPr>
            <w:tcW w:type="dxa" w:w="2232"/>
            <w:vAlign w:val="center"/>
            <w:shd w:fill="F1F6F8"/>
          </w:tcPr>
          <w:p>
            <w:pPr>
              <w:spacing w:after="0"/>
            </w:pPr>
            <w:r/>
            <w:r>
              <w:rPr>
                <w:rFonts w:ascii="Aptos" w:hAnsi="Aptos"/>
                <w:b w:val="0"/>
                <w:color w:val="2D3742"/>
                <w:sz w:val="14"/>
              </w:rPr>
              <w:t>explanation_id</w:t>
            </w:r>
          </w:p>
        </w:tc>
        <w:tc>
          <w:tcPr>
            <w:tcW w:type="dxa" w:w="2088"/>
            <w:vAlign w:val="center"/>
            <w:shd w:fill="F1F6F8"/>
          </w:tcPr>
          <w:p>
            <w:pPr>
              <w:spacing w:after="0"/>
            </w:pPr>
            <w:r/>
            <w:r>
              <w:rPr>
                <w:rFonts w:ascii="Aptos" w:hAnsi="Aptos"/>
                <w:b w:val="0"/>
                <w:color w:val="2D3742"/>
                <w:sz w:val="14"/>
              </w:rPr>
              <w:t>string / UUID</w:t>
            </w:r>
          </w:p>
        </w:tc>
        <w:tc>
          <w:tcPr>
            <w:tcW w:type="dxa" w:w="6048"/>
            <w:vAlign w:val="center"/>
            <w:shd w:fill="F1F6F8"/>
          </w:tcPr>
          <w:p>
            <w:pPr>
              <w:spacing w:after="0"/>
            </w:pPr>
            <w:r/>
            <w:r>
              <w:rPr>
                <w:rFonts w:ascii="Aptos" w:hAnsi="Aptos"/>
                <w:b w:val="0"/>
                <w:color w:val="2D3742"/>
                <w:sz w:val="14"/>
              </w:rPr>
              <w:t>Required link to exact explanation record.</w:t>
            </w:r>
          </w:p>
        </w:tc>
      </w:tr>
      <w:tr>
        <w:tc>
          <w:tcPr>
            <w:tcW w:type="dxa" w:w="2232"/>
            <w:vAlign w:val="center"/>
          </w:tcPr>
          <w:p>
            <w:pPr>
              <w:spacing w:after="0"/>
            </w:pPr>
            <w:r/>
            <w:r>
              <w:rPr>
                <w:rFonts w:ascii="Aptos" w:hAnsi="Aptos"/>
                <w:b w:val="0"/>
                <w:color w:val="2D3742"/>
                <w:sz w:val="14"/>
              </w:rPr>
              <w:t>request_trace_id</w:t>
            </w:r>
          </w:p>
        </w:tc>
        <w:tc>
          <w:tcPr>
            <w:tcW w:type="dxa" w:w="2088"/>
            <w:vAlign w:val="center"/>
          </w:tcPr>
          <w:p>
            <w:pPr>
              <w:spacing w:after="0"/>
            </w:pPr>
            <w:r/>
            <w:r>
              <w:rPr>
                <w:rFonts w:ascii="Aptos" w:hAnsi="Aptos"/>
                <w:b w:val="0"/>
                <w:color w:val="2D3742"/>
                <w:sz w:val="14"/>
              </w:rPr>
              <w:t>string</w:t>
            </w:r>
          </w:p>
        </w:tc>
        <w:tc>
          <w:tcPr>
            <w:tcW w:type="dxa" w:w="6048"/>
            <w:vAlign w:val="center"/>
          </w:tcPr>
          <w:p>
            <w:pPr>
              <w:spacing w:after="0"/>
            </w:pPr>
            <w:r/>
            <w:r>
              <w:rPr>
                <w:rFonts w:ascii="Aptos" w:hAnsi="Aptos"/>
                <w:b w:val="0"/>
                <w:color w:val="2D3742"/>
                <w:sz w:val="14"/>
              </w:rPr>
              <w:t>Synthetic trace token; never a real customer key.</w:t>
            </w:r>
          </w:p>
        </w:tc>
      </w:tr>
      <w:tr>
        <w:tc>
          <w:tcPr>
            <w:tcW w:type="dxa" w:w="2232"/>
            <w:vAlign w:val="center"/>
            <w:shd w:fill="F1F6F8"/>
          </w:tcPr>
          <w:p>
            <w:pPr>
              <w:spacing w:after="0"/>
            </w:pPr>
            <w:r/>
            <w:r>
              <w:rPr>
                <w:rFonts w:ascii="Aptos" w:hAnsi="Aptos"/>
                <w:b w:val="0"/>
                <w:color w:val="2D3742"/>
                <w:sz w:val="14"/>
              </w:rPr>
              <w:t>schema_version</w:t>
            </w:r>
          </w:p>
        </w:tc>
        <w:tc>
          <w:tcPr>
            <w:tcW w:type="dxa" w:w="2088"/>
            <w:vAlign w:val="center"/>
            <w:shd w:fill="F1F6F8"/>
          </w:tcPr>
          <w:p>
            <w:pPr>
              <w:spacing w:after="0"/>
            </w:pPr>
            <w:r/>
            <w:r>
              <w:rPr>
                <w:rFonts w:ascii="Aptos" w:hAnsi="Aptos"/>
                <w:b w:val="0"/>
                <w:color w:val="2D3742"/>
                <w:sz w:val="14"/>
              </w:rPr>
              <w:t>string</w:t>
            </w:r>
          </w:p>
        </w:tc>
        <w:tc>
          <w:tcPr>
            <w:tcW w:type="dxa" w:w="6048"/>
            <w:vAlign w:val="center"/>
            <w:shd w:fill="F1F6F8"/>
          </w:tcPr>
          <w:p>
            <w:pPr>
              <w:spacing w:after="0"/>
            </w:pPr>
            <w:r/>
            <w:r>
              <w:rPr>
                <w:rFonts w:ascii="Aptos" w:hAnsi="Aptos"/>
                <w:b w:val="0"/>
                <w:color w:val="2D3742"/>
                <w:sz w:val="14"/>
              </w:rPr>
              <w:t>Required data contract version, e.g. 1.0.0.</w:t>
            </w:r>
          </w:p>
        </w:tc>
      </w:tr>
    </w:tbl>
    <w:p>
      <w:pPr>
        <w:spacing w:after="0"/>
      </w:pPr>
    </w:p>
    <w:p>
      <w:r>
        <w:br w:type="page"/>
      </w:r>
    </w:p>
    <w:p>
      <w:pPr>
        <w:pStyle w:val="Heading1"/>
      </w:pPr>
      <w:r>
        <w:t>Input and explanation schemas</w:t>
      </w:r>
    </w:p>
    <w:p>
      <w:pPr>
        <w:pStyle w:val="Heading2"/>
      </w:pPr>
      <w:r>
        <w:t>Input snapshots</w:t>
      </w:r>
    </w:p>
    <w:p>
      <w:r>
        <w:t>Keep only features actually consumed by the model after preprocessing. The proposed allowlist mirrors selected fields in the supplied CSV, but examples and initial project runs must be synthetic. `Default` is a training label only and is never included in an inference snapshot.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vAlign w:val="center"/>
            <w:shd w:fill="123047"/>
          </w:tcPr>
          <w:p>
            <w:pPr>
              <w:spacing w:after="0"/>
            </w:pPr>
            <w:r/>
            <w:r>
              <w:rPr>
                <w:rFonts w:ascii="Aptos" w:hAnsi="Aptos"/>
                <w:b/>
                <w:color w:val="FFFFFF"/>
                <w:sz w:val="14"/>
              </w:rPr>
              <w:t>Field</w:t>
            </w:r>
          </w:p>
        </w:tc>
        <w:tc>
          <w:tcPr>
            <w:tcW w:type="dxa" w:w="1944"/>
            <w:vAlign w:val="center"/>
            <w:shd w:fill="123047"/>
          </w:tcPr>
          <w:p>
            <w:pPr>
              <w:spacing w:after="0"/>
            </w:pPr>
            <w:r/>
            <w:r>
              <w:rPr>
                <w:rFonts w:ascii="Aptos" w:hAnsi="Aptos"/>
                <w:b/>
                <w:color w:val="FFFFFF"/>
                <w:sz w:val="14"/>
              </w:rPr>
              <w:t>Type</w:t>
            </w:r>
          </w:p>
        </w:tc>
        <w:tc>
          <w:tcPr>
            <w:tcW w:type="dxa" w:w="5904"/>
            <w:vAlign w:val="center"/>
            <w:shd w:fill="123047"/>
          </w:tcPr>
          <w:p>
            <w:pPr>
              <w:spacing w:after="0"/>
            </w:pPr>
            <w:r/>
            <w:r>
              <w:rPr>
                <w:rFonts w:ascii="Aptos" w:hAnsi="Aptos"/>
                <w:b/>
                <w:color w:val="FFFFFF"/>
                <w:sz w:val="14"/>
              </w:rPr>
              <w:t>Rule / provenance</w:t>
            </w:r>
          </w:p>
        </w:tc>
      </w:tr>
      <w:tr>
        <w:tc>
          <w:tcPr>
            <w:tcW w:type="dxa" w:w="2448"/>
            <w:vAlign w:val="center"/>
          </w:tcPr>
          <w:p>
            <w:pPr>
              <w:spacing w:after="0"/>
            </w:pPr>
            <w:r/>
            <w:r>
              <w:rPr>
                <w:rFonts w:ascii="Aptos" w:hAnsi="Aptos"/>
                <w:b w:val="0"/>
                <w:color w:val="2D3742"/>
                <w:sz w:val="14"/>
              </w:rPr>
              <w:t>input_snapshot_id</w:t>
            </w:r>
          </w:p>
        </w:tc>
        <w:tc>
          <w:tcPr>
            <w:tcW w:type="dxa" w:w="1944"/>
            <w:vAlign w:val="center"/>
          </w:tcPr>
          <w:p>
            <w:pPr>
              <w:spacing w:after="0"/>
            </w:pPr>
            <w:r/>
            <w:r>
              <w:rPr>
                <w:rFonts w:ascii="Aptos" w:hAnsi="Aptos"/>
                <w:b w:val="0"/>
                <w:color w:val="2D3742"/>
                <w:sz w:val="14"/>
              </w:rPr>
              <w:t>string / UUID</w:t>
            </w:r>
          </w:p>
        </w:tc>
        <w:tc>
          <w:tcPr>
            <w:tcW w:type="dxa" w:w="5904"/>
            <w:vAlign w:val="center"/>
          </w:tcPr>
          <w:p>
            <w:pPr>
              <w:spacing w:after="0"/>
            </w:pPr>
            <w:r/>
            <w:r>
              <w:rPr>
                <w:rFonts w:ascii="Aptos" w:hAnsi="Aptos"/>
                <w:b w:val="0"/>
                <w:color w:val="2D3742"/>
                <w:sz w:val="14"/>
              </w:rPr>
              <w:t>Primary identifier; unique per prediction snapshot.</w:t>
            </w:r>
          </w:p>
        </w:tc>
      </w:tr>
      <w:tr>
        <w:tc>
          <w:tcPr>
            <w:tcW w:type="dxa" w:w="2448"/>
            <w:vAlign w:val="center"/>
            <w:shd w:fill="F1F6F8"/>
          </w:tcPr>
          <w:p>
            <w:pPr>
              <w:spacing w:after="0"/>
            </w:pPr>
            <w:r/>
            <w:r>
              <w:rPr>
                <w:rFonts w:ascii="Aptos" w:hAnsi="Aptos"/>
                <w:b w:val="0"/>
                <w:color w:val="2D3742"/>
                <w:sz w:val="14"/>
              </w:rPr>
              <w:t>prediction_id</w:t>
            </w:r>
          </w:p>
        </w:tc>
        <w:tc>
          <w:tcPr>
            <w:tcW w:type="dxa" w:w="1944"/>
            <w:vAlign w:val="center"/>
            <w:shd w:fill="F1F6F8"/>
          </w:tcPr>
          <w:p>
            <w:pPr>
              <w:spacing w:after="0"/>
            </w:pPr>
            <w:r/>
            <w:r>
              <w:rPr>
                <w:rFonts w:ascii="Aptos" w:hAnsi="Aptos"/>
                <w:b w:val="0"/>
                <w:color w:val="2D3742"/>
                <w:sz w:val="14"/>
              </w:rPr>
              <w:t>string / UUID</w:t>
            </w:r>
          </w:p>
        </w:tc>
        <w:tc>
          <w:tcPr>
            <w:tcW w:type="dxa" w:w="5904"/>
            <w:vAlign w:val="center"/>
            <w:shd w:fill="F1F6F8"/>
          </w:tcPr>
          <w:p>
            <w:pPr>
              <w:spacing w:after="0"/>
            </w:pPr>
            <w:r/>
            <w:r>
              <w:rPr>
                <w:rFonts w:ascii="Aptos" w:hAnsi="Aptos"/>
                <w:b w:val="0"/>
                <w:color w:val="2D3742"/>
                <w:sz w:val="14"/>
              </w:rPr>
              <w:t>Required link to prediction event.</w:t>
            </w:r>
          </w:p>
        </w:tc>
      </w:tr>
      <w:tr>
        <w:tc>
          <w:tcPr>
            <w:tcW w:type="dxa" w:w="2448"/>
            <w:vAlign w:val="center"/>
          </w:tcPr>
          <w:p>
            <w:pPr>
              <w:spacing w:after="0"/>
            </w:pPr>
            <w:r/>
            <w:r>
              <w:rPr>
                <w:rFonts w:ascii="Aptos" w:hAnsi="Aptos"/>
                <w:b w:val="0"/>
                <w:color w:val="2D3742"/>
                <w:sz w:val="14"/>
              </w:rPr>
              <w:t>feature_schema_version</w:t>
            </w:r>
          </w:p>
        </w:tc>
        <w:tc>
          <w:tcPr>
            <w:tcW w:type="dxa" w:w="1944"/>
            <w:vAlign w:val="center"/>
          </w:tcPr>
          <w:p>
            <w:pPr>
              <w:spacing w:after="0"/>
            </w:pPr>
            <w:r/>
            <w:r>
              <w:rPr>
                <w:rFonts w:ascii="Aptos" w:hAnsi="Aptos"/>
                <w:b w:val="0"/>
                <w:color w:val="2D3742"/>
                <w:sz w:val="14"/>
              </w:rPr>
              <w:t>string</w:t>
            </w:r>
          </w:p>
        </w:tc>
        <w:tc>
          <w:tcPr>
            <w:tcW w:type="dxa" w:w="5904"/>
            <w:vAlign w:val="center"/>
          </w:tcPr>
          <w:p>
            <w:pPr>
              <w:spacing w:after="0"/>
            </w:pPr>
            <w:r/>
            <w:r>
              <w:rPr>
                <w:rFonts w:ascii="Aptos" w:hAnsi="Aptos"/>
                <w:b w:val="0"/>
                <w:color w:val="2D3742"/>
                <w:sz w:val="14"/>
              </w:rPr>
              <w:t>Version of ordered feature contract.</w:t>
            </w:r>
          </w:p>
        </w:tc>
      </w:tr>
      <w:tr>
        <w:tc>
          <w:tcPr>
            <w:tcW w:type="dxa" w:w="2448"/>
            <w:vAlign w:val="center"/>
            <w:shd w:fill="F1F6F8"/>
          </w:tcPr>
          <w:p>
            <w:pPr>
              <w:spacing w:after="0"/>
            </w:pPr>
            <w:r/>
            <w:r>
              <w:rPr>
                <w:rFonts w:ascii="Aptos" w:hAnsi="Aptos"/>
                <w:b w:val="0"/>
                <w:color w:val="2D3742"/>
                <w:sz w:val="14"/>
              </w:rPr>
              <w:t>loan_amnt</w:t>
            </w:r>
          </w:p>
        </w:tc>
        <w:tc>
          <w:tcPr>
            <w:tcW w:type="dxa" w:w="1944"/>
            <w:vAlign w:val="center"/>
            <w:shd w:fill="F1F6F8"/>
          </w:tcPr>
          <w:p>
            <w:pPr>
              <w:spacing w:after="0"/>
            </w:pPr>
            <w:r/>
            <w:r>
              <w:rPr>
                <w:rFonts w:ascii="Aptos" w:hAnsi="Aptos"/>
                <w:b w:val="0"/>
                <w:color w:val="2D3742"/>
                <w:sz w:val="14"/>
              </w:rPr>
              <w:t>decimal(12,2)</w:t>
            </w:r>
          </w:p>
        </w:tc>
        <w:tc>
          <w:tcPr>
            <w:tcW w:type="dxa" w:w="5904"/>
            <w:vAlign w:val="center"/>
            <w:shd w:fill="F1F6F8"/>
          </w:tcPr>
          <w:p>
            <w:pPr>
              <w:spacing w:after="0"/>
            </w:pPr>
            <w:r/>
            <w:r>
              <w:rPr>
                <w:rFonts w:ascii="Aptos" w:hAnsi="Aptos"/>
                <w:b w:val="0"/>
                <w:color w:val="2D3742"/>
                <w:sz w:val="14"/>
              </w:rPr>
              <w:t>Synthetic requested amount; nonnegative.</w:t>
            </w:r>
          </w:p>
        </w:tc>
      </w:tr>
      <w:tr>
        <w:tc>
          <w:tcPr>
            <w:tcW w:type="dxa" w:w="2448"/>
            <w:vAlign w:val="center"/>
          </w:tcPr>
          <w:p>
            <w:pPr>
              <w:spacing w:after="0"/>
            </w:pPr>
            <w:r/>
            <w:r>
              <w:rPr>
                <w:rFonts w:ascii="Aptos" w:hAnsi="Aptos"/>
                <w:b w:val="0"/>
                <w:color w:val="2D3742"/>
                <w:sz w:val="14"/>
              </w:rPr>
              <w:t>revenue</w:t>
            </w:r>
          </w:p>
        </w:tc>
        <w:tc>
          <w:tcPr>
            <w:tcW w:type="dxa" w:w="1944"/>
            <w:vAlign w:val="center"/>
          </w:tcPr>
          <w:p>
            <w:pPr>
              <w:spacing w:after="0"/>
            </w:pPr>
            <w:r/>
            <w:r>
              <w:rPr>
                <w:rFonts w:ascii="Aptos" w:hAnsi="Aptos"/>
                <w:b w:val="0"/>
                <w:color w:val="2D3742"/>
                <w:sz w:val="14"/>
              </w:rPr>
              <w:t>decimal(12,2)</w:t>
            </w:r>
          </w:p>
        </w:tc>
        <w:tc>
          <w:tcPr>
            <w:tcW w:type="dxa" w:w="5904"/>
            <w:vAlign w:val="center"/>
          </w:tcPr>
          <w:p>
            <w:pPr>
              <w:spacing w:after="0"/>
            </w:pPr>
            <w:r/>
            <w:r>
              <w:rPr>
                <w:rFonts w:ascii="Aptos" w:hAnsi="Aptos"/>
                <w:b w:val="0"/>
                <w:color w:val="2D3742"/>
                <w:sz w:val="14"/>
              </w:rPr>
              <w:t>Synthetic annual income; nonnegative; restrict access.</w:t>
            </w:r>
          </w:p>
        </w:tc>
      </w:tr>
      <w:tr>
        <w:tc>
          <w:tcPr>
            <w:tcW w:type="dxa" w:w="2448"/>
            <w:vAlign w:val="center"/>
            <w:shd w:fill="F1F6F8"/>
          </w:tcPr>
          <w:p>
            <w:pPr>
              <w:spacing w:after="0"/>
            </w:pPr>
            <w:r/>
            <w:r>
              <w:rPr>
                <w:rFonts w:ascii="Aptos" w:hAnsi="Aptos"/>
                <w:b w:val="0"/>
                <w:color w:val="2D3742"/>
                <w:sz w:val="14"/>
              </w:rPr>
              <w:t>dti_n</w:t>
            </w:r>
          </w:p>
        </w:tc>
        <w:tc>
          <w:tcPr>
            <w:tcW w:type="dxa" w:w="1944"/>
            <w:vAlign w:val="center"/>
            <w:shd w:fill="F1F6F8"/>
          </w:tcPr>
          <w:p>
            <w:pPr>
              <w:spacing w:after="0"/>
            </w:pPr>
            <w:r/>
            <w:r>
              <w:rPr>
                <w:rFonts w:ascii="Aptos" w:hAnsi="Aptos"/>
                <w:b w:val="0"/>
                <w:color w:val="2D3742"/>
                <w:sz w:val="14"/>
              </w:rPr>
              <w:t>decimal(7,4)</w:t>
            </w:r>
          </w:p>
        </w:tc>
        <w:tc>
          <w:tcPr>
            <w:tcW w:type="dxa" w:w="5904"/>
            <w:vAlign w:val="center"/>
            <w:shd w:fill="F1F6F8"/>
          </w:tcPr>
          <w:p>
            <w:pPr>
              <w:spacing w:after="0"/>
            </w:pPr>
            <w:r/>
            <w:r>
              <w:rPr>
                <w:rFonts w:ascii="Aptos" w:hAnsi="Aptos"/>
                <w:b w:val="0"/>
                <w:color w:val="2D3742"/>
                <w:sz w:val="14"/>
              </w:rPr>
              <w:t>Synthetic debt-to-income value; validated range.</w:t>
            </w:r>
          </w:p>
        </w:tc>
      </w:tr>
      <w:tr>
        <w:tc>
          <w:tcPr>
            <w:tcW w:type="dxa" w:w="2448"/>
            <w:vAlign w:val="center"/>
          </w:tcPr>
          <w:p>
            <w:pPr>
              <w:spacing w:after="0"/>
            </w:pPr>
            <w:r/>
            <w:r>
              <w:rPr>
                <w:rFonts w:ascii="Aptos" w:hAnsi="Aptos"/>
                <w:b w:val="0"/>
                <w:color w:val="2D3742"/>
                <w:sz w:val="14"/>
              </w:rPr>
              <w:t>fico_n</w:t>
            </w:r>
          </w:p>
        </w:tc>
        <w:tc>
          <w:tcPr>
            <w:tcW w:type="dxa" w:w="1944"/>
            <w:vAlign w:val="center"/>
          </w:tcPr>
          <w:p>
            <w:pPr>
              <w:spacing w:after="0"/>
            </w:pPr>
            <w:r/>
            <w:r>
              <w:rPr>
                <w:rFonts w:ascii="Aptos" w:hAnsi="Aptos"/>
                <w:b w:val="0"/>
                <w:color w:val="2D3742"/>
                <w:sz w:val="14"/>
              </w:rPr>
              <w:t>int</w:t>
            </w:r>
          </w:p>
        </w:tc>
        <w:tc>
          <w:tcPr>
            <w:tcW w:type="dxa" w:w="5904"/>
            <w:vAlign w:val="center"/>
          </w:tcPr>
          <w:p>
            <w:pPr>
              <w:spacing w:after="0"/>
            </w:pPr>
            <w:r/>
            <w:r>
              <w:rPr>
                <w:rFonts w:ascii="Aptos" w:hAnsi="Aptos"/>
                <w:b w:val="0"/>
                <w:color w:val="2D3742"/>
                <w:sz w:val="14"/>
              </w:rPr>
              <w:t>Synthetic score; validate 300–850 if modeled.</w:t>
            </w:r>
          </w:p>
        </w:tc>
      </w:tr>
      <w:tr>
        <w:tc>
          <w:tcPr>
            <w:tcW w:type="dxa" w:w="2448"/>
            <w:vAlign w:val="center"/>
            <w:shd w:fill="F1F6F8"/>
          </w:tcPr>
          <w:p>
            <w:pPr>
              <w:spacing w:after="0"/>
            </w:pPr>
            <w:r/>
            <w:r>
              <w:rPr>
                <w:rFonts w:ascii="Aptos" w:hAnsi="Aptos"/>
                <w:b w:val="0"/>
                <w:color w:val="2D3742"/>
                <w:sz w:val="14"/>
              </w:rPr>
              <w:t>experience_c</w:t>
            </w:r>
          </w:p>
        </w:tc>
        <w:tc>
          <w:tcPr>
            <w:tcW w:type="dxa" w:w="1944"/>
            <w:vAlign w:val="center"/>
            <w:shd w:fill="F1F6F8"/>
          </w:tcPr>
          <w:p>
            <w:pPr>
              <w:spacing w:after="0"/>
            </w:pPr>
            <w:r/>
            <w:r>
              <w:rPr>
                <w:rFonts w:ascii="Aptos" w:hAnsi="Aptos"/>
                <w:b w:val="0"/>
                <w:color w:val="2D3742"/>
                <w:sz w:val="14"/>
              </w:rPr>
              <w:t>boolean</w:t>
            </w:r>
          </w:p>
        </w:tc>
        <w:tc>
          <w:tcPr>
            <w:tcW w:type="dxa" w:w="5904"/>
            <w:vAlign w:val="center"/>
            <w:shd w:fill="F1F6F8"/>
          </w:tcPr>
          <w:p>
            <w:pPr>
              <w:spacing w:after="0"/>
            </w:pPr>
            <w:r/>
            <w:r>
              <w:rPr>
                <w:rFonts w:ascii="Aptos" w:hAnsi="Aptos"/>
                <w:b w:val="0"/>
                <w:color w:val="2D3742"/>
                <w:sz w:val="14"/>
              </w:rPr>
              <w:t>Normalized from source binary encoding.</w:t>
            </w:r>
          </w:p>
        </w:tc>
      </w:tr>
      <w:tr>
        <w:tc>
          <w:tcPr>
            <w:tcW w:type="dxa" w:w="2448"/>
            <w:vAlign w:val="center"/>
          </w:tcPr>
          <w:p>
            <w:pPr>
              <w:spacing w:after="0"/>
            </w:pPr>
            <w:r/>
            <w:r>
              <w:rPr>
                <w:rFonts w:ascii="Aptos" w:hAnsi="Aptos"/>
                <w:b w:val="0"/>
                <w:color w:val="2D3742"/>
                <w:sz w:val="14"/>
              </w:rPr>
              <w:t>emp_length</w:t>
            </w:r>
          </w:p>
        </w:tc>
        <w:tc>
          <w:tcPr>
            <w:tcW w:type="dxa" w:w="1944"/>
            <w:vAlign w:val="center"/>
          </w:tcPr>
          <w:p>
            <w:pPr>
              <w:spacing w:after="0"/>
            </w:pPr>
            <w:r/>
            <w:r>
              <w:rPr>
                <w:rFonts w:ascii="Aptos" w:hAnsi="Aptos"/>
                <w:b w:val="0"/>
                <w:color w:val="2D3742"/>
                <w:sz w:val="14"/>
              </w:rPr>
              <w:t>string</w:t>
            </w:r>
          </w:p>
        </w:tc>
        <w:tc>
          <w:tcPr>
            <w:tcW w:type="dxa" w:w="5904"/>
            <w:vAlign w:val="center"/>
          </w:tcPr>
          <w:p>
            <w:pPr>
              <w:spacing w:after="0"/>
            </w:pPr>
            <w:r/>
            <w:r>
              <w:rPr>
                <w:rFonts w:ascii="Aptos" w:hAnsi="Aptos"/>
                <w:b w:val="0"/>
                <w:color w:val="2D3742"/>
                <w:sz w:val="14"/>
              </w:rPr>
              <w:t>Documented category / missing token.</w:t>
            </w:r>
          </w:p>
        </w:tc>
      </w:tr>
      <w:tr>
        <w:tc>
          <w:tcPr>
            <w:tcW w:type="dxa" w:w="2448"/>
            <w:vAlign w:val="center"/>
            <w:shd w:fill="F1F6F8"/>
          </w:tcPr>
          <w:p>
            <w:pPr>
              <w:spacing w:after="0"/>
            </w:pPr>
            <w:r/>
            <w:r>
              <w:rPr>
                <w:rFonts w:ascii="Aptos" w:hAnsi="Aptos"/>
                <w:b w:val="0"/>
                <w:color w:val="2D3742"/>
                <w:sz w:val="14"/>
              </w:rPr>
              <w:t>purpose</w:t>
            </w:r>
          </w:p>
        </w:tc>
        <w:tc>
          <w:tcPr>
            <w:tcW w:type="dxa" w:w="1944"/>
            <w:vAlign w:val="center"/>
            <w:shd w:fill="F1F6F8"/>
          </w:tcPr>
          <w:p>
            <w:pPr>
              <w:spacing w:after="0"/>
            </w:pPr>
            <w:r/>
            <w:r>
              <w:rPr>
                <w:rFonts w:ascii="Aptos" w:hAnsi="Aptos"/>
                <w:b w:val="0"/>
                <w:color w:val="2D3742"/>
                <w:sz w:val="14"/>
              </w:rPr>
              <w:t>string</w:t>
            </w:r>
          </w:p>
        </w:tc>
        <w:tc>
          <w:tcPr>
            <w:tcW w:type="dxa" w:w="5904"/>
            <w:vAlign w:val="center"/>
            <w:shd w:fill="F1F6F8"/>
          </w:tcPr>
          <w:p>
            <w:pPr>
              <w:spacing w:after="0"/>
            </w:pPr>
            <w:r/>
            <w:r>
              <w:rPr>
                <w:rFonts w:ascii="Aptos" w:hAnsi="Aptos"/>
                <w:b w:val="0"/>
                <w:color w:val="2D3742"/>
                <w:sz w:val="14"/>
              </w:rPr>
              <w:t>Allowlisted normalized category.</w:t>
            </w:r>
          </w:p>
        </w:tc>
      </w:tr>
      <w:tr>
        <w:tc>
          <w:tcPr>
            <w:tcW w:type="dxa" w:w="2448"/>
            <w:vAlign w:val="center"/>
          </w:tcPr>
          <w:p>
            <w:pPr>
              <w:spacing w:after="0"/>
            </w:pPr>
            <w:r/>
            <w:r>
              <w:rPr>
                <w:rFonts w:ascii="Aptos" w:hAnsi="Aptos"/>
                <w:b w:val="0"/>
                <w:color w:val="2D3742"/>
                <w:sz w:val="14"/>
              </w:rPr>
              <w:t>home_ownership_n</w:t>
            </w:r>
          </w:p>
        </w:tc>
        <w:tc>
          <w:tcPr>
            <w:tcW w:type="dxa" w:w="1944"/>
            <w:vAlign w:val="center"/>
          </w:tcPr>
          <w:p>
            <w:pPr>
              <w:spacing w:after="0"/>
            </w:pPr>
            <w:r/>
            <w:r>
              <w:rPr>
                <w:rFonts w:ascii="Aptos" w:hAnsi="Aptos"/>
                <w:b w:val="0"/>
                <w:color w:val="2D3742"/>
                <w:sz w:val="14"/>
              </w:rPr>
              <w:t>string</w:t>
            </w:r>
          </w:p>
        </w:tc>
        <w:tc>
          <w:tcPr>
            <w:tcW w:type="dxa" w:w="5904"/>
            <w:vAlign w:val="center"/>
          </w:tcPr>
          <w:p>
            <w:pPr>
              <w:spacing w:after="0"/>
            </w:pPr>
            <w:r/>
            <w:r>
              <w:rPr>
                <w:rFonts w:ascii="Aptos" w:hAnsi="Aptos"/>
                <w:b w:val="0"/>
                <w:color w:val="2D3742"/>
                <w:sz w:val="14"/>
              </w:rPr>
              <w:t>Allowlisted normalized category.</w:t>
            </w:r>
          </w:p>
        </w:tc>
      </w:tr>
      <w:tr>
        <w:tc>
          <w:tcPr>
            <w:tcW w:type="dxa" w:w="2448"/>
            <w:vAlign w:val="center"/>
            <w:shd w:fill="F1F6F8"/>
          </w:tcPr>
          <w:p>
            <w:pPr>
              <w:spacing w:after="0"/>
            </w:pPr>
            <w:r/>
            <w:r>
              <w:rPr>
                <w:rFonts w:ascii="Aptos" w:hAnsi="Aptos"/>
                <w:b w:val="0"/>
                <w:color w:val="2D3742"/>
                <w:sz w:val="14"/>
              </w:rPr>
              <w:t>input_hash</w:t>
            </w:r>
          </w:p>
        </w:tc>
        <w:tc>
          <w:tcPr>
            <w:tcW w:type="dxa" w:w="1944"/>
            <w:vAlign w:val="center"/>
            <w:shd w:fill="F1F6F8"/>
          </w:tcPr>
          <w:p>
            <w:pPr>
              <w:spacing w:after="0"/>
            </w:pPr>
            <w:r/>
            <w:r>
              <w:rPr>
                <w:rFonts w:ascii="Aptos" w:hAnsi="Aptos"/>
                <w:b w:val="0"/>
                <w:color w:val="2D3742"/>
                <w:sz w:val="14"/>
              </w:rPr>
              <w:t>string SHA-256</w:t>
            </w:r>
          </w:p>
        </w:tc>
        <w:tc>
          <w:tcPr>
            <w:tcW w:type="dxa" w:w="5904"/>
            <w:vAlign w:val="center"/>
            <w:shd w:fill="F1F6F8"/>
          </w:tcPr>
          <w:p>
            <w:pPr>
              <w:spacing w:after="0"/>
            </w:pPr>
            <w:r/>
            <w:r>
              <w:rPr>
                <w:rFonts w:ascii="Aptos" w:hAnsi="Aptos"/>
                <w:b w:val="0"/>
                <w:color w:val="2D3742"/>
                <w:sz w:val="14"/>
              </w:rPr>
              <w:t>Hash of canonical sorted JSON of model input.</w:t>
            </w:r>
          </w:p>
        </w:tc>
      </w:tr>
      <w:tr>
        <w:tc>
          <w:tcPr>
            <w:tcW w:type="dxa" w:w="2448"/>
            <w:vAlign w:val="center"/>
          </w:tcPr>
          <w:p>
            <w:pPr>
              <w:spacing w:after="0"/>
            </w:pPr>
            <w:r/>
            <w:r>
              <w:rPr>
                <w:rFonts w:ascii="Aptos" w:hAnsi="Aptos"/>
                <w:b w:val="0"/>
                <w:color w:val="2D3742"/>
                <w:sz w:val="14"/>
              </w:rPr>
              <w:t>created_at</w:t>
            </w:r>
          </w:p>
        </w:tc>
        <w:tc>
          <w:tcPr>
            <w:tcW w:type="dxa" w:w="1944"/>
            <w:vAlign w:val="center"/>
          </w:tcPr>
          <w:p>
            <w:pPr>
              <w:spacing w:after="0"/>
            </w:pPr>
            <w:r/>
            <w:r>
              <w:rPr>
                <w:rFonts w:ascii="Aptos" w:hAnsi="Aptos"/>
                <w:b w:val="0"/>
                <w:color w:val="2D3742"/>
                <w:sz w:val="14"/>
              </w:rPr>
              <w:t>timestamp UTC</w:t>
            </w:r>
          </w:p>
        </w:tc>
        <w:tc>
          <w:tcPr>
            <w:tcW w:type="dxa" w:w="5904"/>
            <w:vAlign w:val="center"/>
          </w:tcPr>
          <w:p>
            <w:pPr>
              <w:spacing w:after="0"/>
            </w:pPr>
            <w:r/>
            <w:r>
              <w:rPr>
                <w:rFonts w:ascii="Aptos" w:hAnsi="Aptos"/>
                <w:b w:val="0"/>
                <w:color w:val="2D3742"/>
                <w:sz w:val="14"/>
              </w:rPr>
              <w:t>Snapshot creation time.</w:t>
            </w:r>
          </w:p>
        </w:tc>
      </w:tr>
    </w:tbl>
    <w:p>
      <w:pPr>
        <w:spacing w:after="0"/>
      </w:pPr>
    </w:p>
    <w:p>
      <w:pPr>
        <w:pStyle w:val="Heading2"/>
      </w:pPr>
      <w:r>
        <w:t>Explanation records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vAlign w:val="center"/>
            <w:shd w:fill="123047"/>
          </w:tcPr>
          <w:p>
            <w:pPr>
              <w:spacing w:after="0"/>
            </w:pPr>
            <w:r/>
            <w:r>
              <w:rPr>
                <w:rFonts w:ascii="Aptos" w:hAnsi="Aptos"/>
                <w:b/>
                <w:color w:val="FFFFFF"/>
                <w:sz w:val="14"/>
              </w:rPr>
              <w:t>Field</w:t>
            </w:r>
          </w:p>
        </w:tc>
        <w:tc>
          <w:tcPr>
            <w:tcW w:type="dxa" w:w="1944"/>
            <w:vAlign w:val="center"/>
            <w:shd w:fill="123047"/>
          </w:tcPr>
          <w:p>
            <w:pPr>
              <w:spacing w:after="0"/>
            </w:pPr>
            <w:r/>
            <w:r>
              <w:rPr>
                <w:rFonts w:ascii="Aptos" w:hAnsi="Aptos"/>
                <w:b/>
                <w:color w:val="FFFFFF"/>
                <w:sz w:val="14"/>
              </w:rPr>
              <w:t>Type</w:t>
            </w:r>
          </w:p>
        </w:tc>
        <w:tc>
          <w:tcPr>
            <w:tcW w:type="dxa" w:w="5904"/>
            <w:vAlign w:val="center"/>
            <w:shd w:fill="123047"/>
          </w:tcPr>
          <w:p>
            <w:pPr>
              <w:spacing w:after="0"/>
            </w:pPr>
            <w:r/>
            <w:r>
              <w:rPr>
                <w:rFonts w:ascii="Aptos" w:hAnsi="Aptos"/>
                <w:b/>
                <w:color w:val="FFFFFF"/>
                <w:sz w:val="14"/>
              </w:rPr>
              <w:t>Rule / provenance</w:t>
            </w:r>
          </w:p>
        </w:tc>
      </w:tr>
      <w:tr>
        <w:tc>
          <w:tcPr>
            <w:tcW w:type="dxa" w:w="2448"/>
            <w:vAlign w:val="center"/>
          </w:tcPr>
          <w:p>
            <w:pPr>
              <w:spacing w:after="0"/>
            </w:pPr>
            <w:r/>
            <w:r>
              <w:rPr>
                <w:rFonts w:ascii="Aptos" w:hAnsi="Aptos"/>
                <w:b w:val="0"/>
                <w:color w:val="2D3742"/>
                <w:sz w:val="14"/>
              </w:rPr>
              <w:t>explanation_id</w:t>
            </w:r>
          </w:p>
        </w:tc>
        <w:tc>
          <w:tcPr>
            <w:tcW w:type="dxa" w:w="1944"/>
            <w:vAlign w:val="center"/>
          </w:tcPr>
          <w:p>
            <w:pPr>
              <w:spacing w:after="0"/>
            </w:pPr>
            <w:r/>
            <w:r>
              <w:rPr>
                <w:rFonts w:ascii="Aptos" w:hAnsi="Aptos"/>
                <w:b w:val="0"/>
                <w:color w:val="2D3742"/>
                <w:sz w:val="14"/>
              </w:rPr>
              <w:t>string / UUID</w:t>
            </w:r>
          </w:p>
        </w:tc>
        <w:tc>
          <w:tcPr>
            <w:tcW w:type="dxa" w:w="5904"/>
            <w:vAlign w:val="center"/>
          </w:tcPr>
          <w:p>
            <w:pPr>
              <w:spacing w:after="0"/>
            </w:pPr>
            <w:r/>
            <w:r>
              <w:rPr>
                <w:rFonts w:ascii="Aptos" w:hAnsi="Aptos"/>
                <w:b w:val="0"/>
                <w:color w:val="2D3742"/>
                <w:sz w:val="14"/>
              </w:rPr>
              <w:t>Unique explanation artifact ID.</w:t>
            </w:r>
          </w:p>
        </w:tc>
      </w:tr>
      <w:tr>
        <w:tc>
          <w:tcPr>
            <w:tcW w:type="dxa" w:w="2448"/>
            <w:vAlign w:val="center"/>
            <w:shd w:fill="F1F6F8"/>
          </w:tcPr>
          <w:p>
            <w:pPr>
              <w:spacing w:after="0"/>
            </w:pPr>
            <w:r/>
            <w:r>
              <w:rPr>
                <w:rFonts w:ascii="Aptos" w:hAnsi="Aptos"/>
                <w:b w:val="0"/>
                <w:color w:val="2D3742"/>
                <w:sz w:val="14"/>
              </w:rPr>
              <w:t>prediction_id</w:t>
            </w:r>
          </w:p>
        </w:tc>
        <w:tc>
          <w:tcPr>
            <w:tcW w:type="dxa" w:w="1944"/>
            <w:vAlign w:val="center"/>
            <w:shd w:fill="F1F6F8"/>
          </w:tcPr>
          <w:p>
            <w:pPr>
              <w:spacing w:after="0"/>
            </w:pPr>
            <w:r/>
            <w:r>
              <w:rPr>
                <w:rFonts w:ascii="Aptos" w:hAnsi="Aptos"/>
                <w:b w:val="0"/>
                <w:color w:val="2D3742"/>
                <w:sz w:val="14"/>
              </w:rPr>
              <w:t>string / UUID</w:t>
            </w:r>
          </w:p>
        </w:tc>
        <w:tc>
          <w:tcPr>
            <w:tcW w:type="dxa" w:w="5904"/>
            <w:vAlign w:val="center"/>
            <w:shd w:fill="F1F6F8"/>
          </w:tcPr>
          <w:p>
            <w:pPr>
              <w:spacing w:after="0"/>
            </w:pPr>
            <w:r/>
            <w:r>
              <w:rPr>
                <w:rFonts w:ascii="Aptos" w:hAnsi="Aptos"/>
                <w:b w:val="0"/>
                <w:color w:val="2D3742"/>
                <w:sz w:val="14"/>
              </w:rPr>
              <w:t>Required link to prediction event.</w:t>
            </w:r>
          </w:p>
        </w:tc>
      </w:tr>
      <w:tr>
        <w:tc>
          <w:tcPr>
            <w:tcW w:type="dxa" w:w="2448"/>
            <w:vAlign w:val="center"/>
          </w:tcPr>
          <w:p>
            <w:pPr>
              <w:spacing w:after="0"/>
            </w:pPr>
            <w:r/>
            <w:r>
              <w:rPr>
                <w:rFonts w:ascii="Aptos" w:hAnsi="Aptos"/>
                <w:b w:val="0"/>
                <w:color w:val="2D3742"/>
                <w:sz w:val="14"/>
              </w:rPr>
              <w:t>explainer_name</w:t>
            </w:r>
          </w:p>
        </w:tc>
        <w:tc>
          <w:tcPr>
            <w:tcW w:type="dxa" w:w="1944"/>
            <w:vAlign w:val="center"/>
          </w:tcPr>
          <w:p>
            <w:pPr>
              <w:spacing w:after="0"/>
            </w:pPr>
            <w:r/>
            <w:r>
              <w:rPr>
                <w:rFonts w:ascii="Aptos" w:hAnsi="Aptos"/>
                <w:b w:val="0"/>
                <w:color w:val="2D3742"/>
                <w:sz w:val="14"/>
              </w:rPr>
              <w:t>string</w:t>
            </w:r>
          </w:p>
        </w:tc>
        <w:tc>
          <w:tcPr>
            <w:tcW w:type="dxa" w:w="5904"/>
            <w:vAlign w:val="center"/>
          </w:tcPr>
          <w:p>
            <w:pPr>
              <w:spacing w:after="0"/>
            </w:pPr>
            <w:r/>
            <w:r>
              <w:rPr>
                <w:rFonts w:ascii="Aptos" w:hAnsi="Aptos"/>
                <w:b w:val="0"/>
                <w:color w:val="2D3742"/>
                <w:sz w:val="14"/>
              </w:rPr>
              <w:t>For example, SHAP or documented rule explainer.</w:t>
            </w:r>
          </w:p>
        </w:tc>
      </w:tr>
      <w:tr>
        <w:tc>
          <w:tcPr>
            <w:tcW w:type="dxa" w:w="2448"/>
            <w:vAlign w:val="center"/>
            <w:shd w:fill="F1F6F8"/>
          </w:tcPr>
          <w:p>
            <w:pPr>
              <w:spacing w:after="0"/>
            </w:pPr>
            <w:r/>
            <w:r>
              <w:rPr>
                <w:rFonts w:ascii="Aptos" w:hAnsi="Aptos"/>
                <w:b w:val="0"/>
                <w:color w:val="2D3742"/>
                <w:sz w:val="14"/>
              </w:rPr>
              <w:t>explainer_version</w:t>
            </w:r>
          </w:p>
        </w:tc>
        <w:tc>
          <w:tcPr>
            <w:tcW w:type="dxa" w:w="1944"/>
            <w:vAlign w:val="center"/>
            <w:shd w:fill="F1F6F8"/>
          </w:tcPr>
          <w:p>
            <w:pPr>
              <w:spacing w:after="0"/>
            </w:pPr>
            <w:r/>
            <w:r>
              <w:rPr>
                <w:rFonts w:ascii="Aptos" w:hAnsi="Aptos"/>
                <w:b w:val="0"/>
                <w:color w:val="2D3742"/>
                <w:sz w:val="14"/>
              </w:rPr>
              <w:t>string</w:t>
            </w:r>
          </w:p>
        </w:tc>
        <w:tc>
          <w:tcPr>
            <w:tcW w:type="dxa" w:w="5904"/>
            <w:vAlign w:val="center"/>
            <w:shd w:fill="F1F6F8"/>
          </w:tcPr>
          <w:p>
            <w:pPr>
              <w:spacing w:after="0"/>
            </w:pPr>
            <w:r/>
            <w:r>
              <w:rPr>
                <w:rFonts w:ascii="Aptos" w:hAnsi="Aptos"/>
                <w:b w:val="0"/>
                <w:color w:val="2D3742"/>
                <w:sz w:val="14"/>
              </w:rPr>
              <w:t>Exact library / implementation version.</w:t>
            </w:r>
          </w:p>
        </w:tc>
      </w:tr>
      <w:tr>
        <w:tc>
          <w:tcPr>
            <w:tcW w:type="dxa" w:w="2448"/>
            <w:vAlign w:val="center"/>
          </w:tcPr>
          <w:p>
            <w:pPr>
              <w:spacing w:after="0"/>
            </w:pPr>
            <w:r/>
            <w:r>
              <w:rPr>
                <w:rFonts w:ascii="Aptos" w:hAnsi="Aptos"/>
                <w:b w:val="0"/>
                <w:color w:val="2D3742"/>
                <w:sz w:val="14"/>
              </w:rPr>
              <w:t>explanation_json</w:t>
            </w:r>
          </w:p>
        </w:tc>
        <w:tc>
          <w:tcPr>
            <w:tcW w:type="dxa" w:w="1944"/>
            <w:vAlign w:val="center"/>
          </w:tcPr>
          <w:p>
            <w:pPr>
              <w:spacing w:after="0"/>
            </w:pPr>
            <w:r/>
            <w:r>
              <w:rPr>
                <w:rFonts w:ascii="Aptos" w:hAnsi="Aptos"/>
                <w:b w:val="0"/>
                <w:color w:val="2D3742"/>
                <w:sz w:val="14"/>
              </w:rPr>
              <w:t>struct / JSON</w:t>
            </w:r>
          </w:p>
        </w:tc>
        <w:tc>
          <w:tcPr>
            <w:tcW w:type="dxa" w:w="5904"/>
            <w:vAlign w:val="center"/>
          </w:tcPr>
          <w:p>
            <w:pPr>
              <w:spacing w:after="0"/>
            </w:pPr>
            <w:r/>
            <w:r>
              <w:rPr>
                <w:rFonts w:ascii="Aptos" w:hAnsi="Aptos"/>
                <w:b w:val="0"/>
                <w:color w:val="2D3742"/>
                <w:sz w:val="14"/>
              </w:rPr>
              <w:t>Top contributions: feature, contribution, value reference, direction; deterministic ordering.</w:t>
            </w:r>
          </w:p>
        </w:tc>
      </w:tr>
      <w:tr>
        <w:tc>
          <w:tcPr>
            <w:tcW w:type="dxa" w:w="2448"/>
            <w:vAlign w:val="center"/>
            <w:shd w:fill="F1F6F8"/>
          </w:tcPr>
          <w:p>
            <w:pPr>
              <w:spacing w:after="0"/>
            </w:pPr>
            <w:r/>
            <w:r>
              <w:rPr>
                <w:rFonts w:ascii="Aptos" w:hAnsi="Aptos"/>
                <w:b w:val="0"/>
                <w:color w:val="2D3742"/>
                <w:sz w:val="14"/>
              </w:rPr>
              <w:t>reason_codes</w:t>
            </w:r>
          </w:p>
        </w:tc>
        <w:tc>
          <w:tcPr>
            <w:tcW w:type="dxa" w:w="1944"/>
            <w:vAlign w:val="center"/>
            <w:shd w:fill="F1F6F8"/>
          </w:tcPr>
          <w:p>
            <w:pPr>
              <w:spacing w:after="0"/>
            </w:pPr>
            <w:r/>
            <w:r>
              <w:rPr>
                <w:rFonts w:ascii="Aptos" w:hAnsi="Aptos"/>
                <w:b w:val="0"/>
                <w:color w:val="2D3742"/>
                <w:sz w:val="14"/>
              </w:rPr>
              <w:t>array&lt;string&gt;</w:t>
            </w:r>
          </w:p>
        </w:tc>
        <w:tc>
          <w:tcPr>
            <w:tcW w:type="dxa" w:w="5904"/>
            <w:vAlign w:val="center"/>
            <w:shd w:fill="F1F6F8"/>
          </w:tcPr>
          <w:p>
            <w:pPr>
              <w:spacing w:after="0"/>
            </w:pPr>
            <w:r/>
            <w:r>
              <w:rPr>
                <w:rFonts w:ascii="Aptos" w:hAnsi="Aptos"/>
                <w:b w:val="0"/>
                <w:color w:val="2D3742"/>
                <w:sz w:val="14"/>
              </w:rPr>
              <w:t>Stable human-readable reason-code vocabulary versioned separately.</w:t>
            </w:r>
          </w:p>
        </w:tc>
      </w:tr>
      <w:tr>
        <w:tc>
          <w:tcPr>
            <w:tcW w:type="dxa" w:w="2448"/>
            <w:vAlign w:val="center"/>
          </w:tcPr>
          <w:p>
            <w:pPr>
              <w:spacing w:after="0"/>
            </w:pPr>
            <w:r/>
            <w:r>
              <w:rPr>
                <w:rFonts w:ascii="Aptos" w:hAnsi="Aptos"/>
                <w:b w:val="0"/>
                <w:color w:val="2D3742"/>
                <w:sz w:val="14"/>
              </w:rPr>
              <w:t>rendered_summary</w:t>
            </w:r>
          </w:p>
        </w:tc>
        <w:tc>
          <w:tcPr>
            <w:tcW w:type="dxa" w:w="1944"/>
            <w:vAlign w:val="center"/>
          </w:tcPr>
          <w:p>
            <w:pPr>
              <w:spacing w:after="0"/>
            </w:pPr>
            <w:r/>
            <w:r>
              <w:rPr>
                <w:rFonts w:ascii="Aptos" w:hAnsi="Aptos"/>
                <w:b w:val="0"/>
                <w:color w:val="2D3742"/>
                <w:sz w:val="14"/>
              </w:rPr>
              <w:t>string</w:t>
            </w:r>
          </w:p>
        </w:tc>
        <w:tc>
          <w:tcPr>
            <w:tcW w:type="dxa" w:w="5904"/>
            <w:vAlign w:val="center"/>
          </w:tcPr>
          <w:p>
            <w:pPr>
              <w:spacing w:after="0"/>
            </w:pPr>
            <w:r/>
            <w:r>
              <w:rPr>
                <w:rFonts w:ascii="Aptos" w:hAnsi="Aptos"/>
                <w:b w:val="0"/>
                <w:color w:val="2D3742"/>
                <w:sz w:val="14"/>
              </w:rPr>
              <w:t>Template/versioned plain-language explanation; no untrusted borrower text.</w:t>
            </w:r>
          </w:p>
        </w:tc>
      </w:tr>
      <w:tr>
        <w:tc>
          <w:tcPr>
            <w:tcW w:type="dxa" w:w="2448"/>
            <w:vAlign w:val="center"/>
            <w:shd w:fill="F1F6F8"/>
          </w:tcPr>
          <w:p>
            <w:pPr>
              <w:spacing w:after="0"/>
            </w:pPr>
            <w:r/>
            <w:r>
              <w:rPr>
                <w:rFonts w:ascii="Aptos" w:hAnsi="Aptos"/>
                <w:b w:val="0"/>
                <w:color w:val="2D3742"/>
                <w:sz w:val="14"/>
              </w:rPr>
              <w:t>explanation_hash</w:t>
            </w:r>
          </w:p>
        </w:tc>
        <w:tc>
          <w:tcPr>
            <w:tcW w:type="dxa" w:w="1944"/>
            <w:vAlign w:val="center"/>
            <w:shd w:fill="F1F6F8"/>
          </w:tcPr>
          <w:p>
            <w:pPr>
              <w:spacing w:after="0"/>
            </w:pPr>
            <w:r/>
            <w:r>
              <w:rPr>
                <w:rFonts w:ascii="Aptos" w:hAnsi="Aptos"/>
                <w:b w:val="0"/>
                <w:color w:val="2D3742"/>
                <w:sz w:val="14"/>
              </w:rPr>
              <w:t>string SHA-256</w:t>
            </w:r>
          </w:p>
        </w:tc>
        <w:tc>
          <w:tcPr>
            <w:tcW w:type="dxa" w:w="5904"/>
            <w:vAlign w:val="center"/>
            <w:shd w:fill="F1F6F8"/>
          </w:tcPr>
          <w:p>
            <w:pPr>
              <w:spacing w:after="0"/>
            </w:pPr>
            <w:r/>
            <w:r>
              <w:rPr>
                <w:rFonts w:ascii="Aptos" w:hAnsi="Aptos"/>
                <w:b w:val="0"/>
                <w:color w:val="2D3742"/>
                <w:sz w:val="14"/>
              </w:rPr>
              <w:t>Hash canonical explanation payload and rendering inputs.</w:t>
            </w:r>
          </w:p>
        </w:tc>
      </w:tr>
      <w:tr>
        <w:tc>
          <w:tcPr>
            <w:tcW w:type="dxa" w:w="2448"/>
            <w:vAlign w:val="center"/>
          </w:tcPr>
          <w:p>
            <w:pPr>
              <w:spacing w:after="0"/>
            </w:pPr>
            <w:r/>
            <w:r>
              <w:rPr>
                <w:rFonts w:ascii="Aptos" w:hAnsi="Aptos"/>
                <w:b w:val="0"/>
                <w:color w:val="2D3742"/>
                <w:sz w:val="14"/>
              </w:rPr>
              <w:t>created_at</w:t>
            </w:r>
          </w:p>
        </w:tc>
        <w:tc>
          <w:tcPr>
            <w:tcW w:type="dxa" w:w="1944"/>
            <w:vAlign w:val="center"/>
          </w:tcPr>
          <w:p>
            <w:pPr>
              <w:spacing w:after="0"/>
            </w:pPr>
            <w:r/>
            <w:r>
              <w:rPr>
                <w:rFonts w:ascii="Aptos" w:hAnsi="Aptos"/>
                <w:b w:val="0"/>
                <w:color w:val="2D3742"/>
                <w:sz w:val="14"/>
              </w:rPr>
              <w:t>timestamp UTC</w:t>
            </w:r>
          </w:p>
        </w:tc>
        <w:tc>
          <w:tcPr>
            <w:tcW w:type="dxa" w:w="5904"/>
            <w:vAlign w:val="center"/>
          </w:tcPr>
          <w:p>
            <w:pPr>
              <w:spacing w:after="0"/>
            </w:pPr>
            <w:r/>
            <w:r>
              <w:rPr>
                <w:rFonts w:ascii="Aptos" w:hAnsi="Aptos"/>
                <w:b w:val="0"/>
                <w:color w:val="2D3742"/>
                <w:sz w:val="14"/>
              </w:rPr>
              <w:t>Generation time.</w:t>
            </w:r>
          </w:p>
        </w:tc>
      </w:tr>
    </w:tbl>
    <w:p>
      <w:pPr>
        <w:spacing w:after="0"/>
      </w:pPr>
    </w:p>
    <w:p>
      <w:r>
        <w:t>Model registry contract. Store `model_version`, artifact URI and SHA-256 digest, model framework/version, feature code commit, preprocessing artifact digest, training dataset identifier/version/hash, training window, label definition, threshold-policy version, explainer compatibility and registration timestamp. Model binaries live in immutable object storage; Iceberg stores metadata and content hashes, not mutable binaries.</w:t>
      </w:r>
    </w:p>
    <w:p>
      <w:r>
        <w:br w:type="page"/>
      </w:r>
    </w:p>
    <w:p>
      <w:pPr>
        <w:pStyle w:val="Heading1"/>
      </w:pPr>
      <w:r>
        <w:t>Physical layout and time travel</w:t>
      </w:r>
    </w:p>
    <w:p>
      <w:pPr>
        <w:pStyle w:val="Heading2"/>
      </w:pPr>
      <w:r>
        <w:t>Recommended Iceberg configuration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vAlign w:val="center"/>
            <w:shd w:fill="123047"/>
          </w:tcPr>
          <w:p>
            <w:pPr>
              <w:spacing w:after="0"/>
            </w:pPr>
            <w:r/>
            <w:r>
              <w:rPr>
                <w:rFonts w:ascii="Aptos" w:hAnsi="Aptos"/>
                <w:b/>
                <w:color w:val="FFFFFF"/>
                <w:sz w:val="14"/>
              </w:rPr>
              <w:t>Choice</w:t>
            </w:r>
          </w:p>
        </w:tc>
        <w:tc>
          <w:tcPr>
            <w:tcW w:type="dxa" w:w="3672"/>
            <w:vAlign w:val="center"/>
            <w:shd w:fill="123047"/>
          </w:tcPr>
          <w:p>
            <w:pPr>
              <w:spacing w:after="0"/>
            </w:pPr>
            <w:r/>
            <w:r>
              <w:rPr>
                <w:rFonts w:ascii="Aptos" w:hAnsi="Aptos"/>
                <w:b/>
                <w:color w:val="FFFFFF"/>
                <w:sz w:val="14"/>
              </w:rPr>
              <w:t>Design</w:t>
            </w:r>
          </w:p>
        </w:tc>
        <w:tc>
          <w:tcPr>
            <w:tcW w:type="dxa" w:w="4824"/>
            <w:vAlign w:val="center"/>
            <w:shd w:fill="123047"/>
          </w:tcPr>
          <w:p>
            <w:pPr>
              <w:spacing w:after="0"/>
            </w:pPr>
            <w:r/>
            <w:r>
              <w:rPr>
                <w:rFonts w:ascii="Aptos" w:hAnsi="Aptos"/>
                <w:b/>
                <w:color w:val="FFFFFF"/>
                <w:sz w:val="14"/>
              </w:rPr>
              <w:t>Why</w:t>
            </w:r>
          </w:p>
        </w:tc>
      </w:tr>
      <w:tr>
        <w:tc>
          <w:tcPr>
            <w:tcW w:type="dxa" w:w="1800"/>
            <w:vAlign w:val="center"/>
          </w:tcPr>
          <w:p>
            <w:pPr>
              <w:spacing w:after="0"/>
            </w:pPr>
            <w:r/>
            <w:r>
              <w:rPr>
                <w:rFonts w:ascii="Aptos" w:hAnsi="Aptos"/>
                <w:b w:val="0"/>
                <w:color w:val="2D3742"/>
                <w:sz w:val="14"/>
              </w:rPr>
              <w:t>Table format</w:t>
            </w:r>
          </w:p>
        </w:tc>
        <w:tc>
          <w:tcPr>
            <w:tcW w:type="dxa" w:w="3672"/>
            <w:vAlign w:val="center"/>
          </w:tcPr>
          <w:p>
            <w:pPr>
              <w:spacing w:after="0"/>
            </w:pPr>
            <w:r/>
            <w:r>
              <w:rPr>
                <w:rFonts w:ascii="Aptos" w:hAnsi="Aptos"/>
                <w:b w:val="0"/>
                <w:color w:val="2D3742"/>
                <w:sz w:val="14"/>
              </w:rPr>
              <w:t>Apache Iceberg v2; Parquet data files</w:t>
            </w:r>
          </w:p>
        </w:tc>
        <w:tc>
          <w:tcPr>
            <w:tcW w:type="dxa" w:w="4824"/>
            <w:vAlign w:val="center"/>
          </w:tcPr>
          <w:p>
            <w:pPr>
              <w:spacing w:after="0"/>
            </w:pPr>
            <w:r/>
            <w:r>
              <w:rPr>
                <w:rFonts w:ascii="Aptos" w:hAnsi="Aptos"/>
                <w:b w:val="0"/>
                <w:color w:val="2D3742"/>
                <w:sz w:val="14"/>
              </w:rPr>
              <w:t>Schema/partition evolution and snapshot-based historical reads.</w:t>
            </w:r>
          </w:p>
        </w:tc>
      </w:tr>
      <w:tr>
        <w:tc>
          <w:tcPr>
            <w:tcW w:type="dxa" w:w="1800"/>
            <w:vAlign w:val="center"/>
            <w:shd w:fill="F1F6F8"/>
          </w:tcPr>
          <w:p>
            <w:pPr>
              <w:spacing w:after="0"/>
            </w:pPr>
            <w:r/>
            <w:r>
              <w:rPr>
                <w:rFonts w:ascii="Aptos" w:hAnsi="Aptos"/>
                <w:b w:val="0"/>
                <w:color w:val="2D3742"/>
                <w:sz w:val="14"/>
              </w:rPr>
              <w:t>Compression</w:t>
            </w:r>
          </w:p>
        </w:tc>
        <w:tc>
          <w:tcPr>
            <w:tcW w:type="dxa" w:w="3672"/>
            <w:vAlign w:val="center"/>
            <w:shd w:fill="F1F6F8"/>
          </w:tcPr>
          <w:p>
            <w:pPr>
              <w:spacing w:after="0"/>
            </w:pPr>
            <w:r/>
            <w:r>
              <w:rPr>
                <w:rFonts w:ascii="Aptos" w:hAnsi="Aptos"/>
                <w:b w:val="0"/>
                <w:color w:val="2D3742"/>
                <w:sz w:val="14"/>
              </w:rPr>
              <w:t>Zstandard (ZSTD), start at level 3</w:t>
            </w:r>
          </w:p>
        </w:tc>
        <w:tc>
          <w:tcPr>
            <w:tcW w:type="dxa" w:w="4824"/>
            <w:vAlign w:val="center"/>
            <w:shd w:fill="F1F6F8"/>
          </w:tcPr>
          <w:p>
            <w:pPr>
              <w:spacing w:after="0"/>
            </w:pPr>
            <w:r/>
            <w:r>
              <w:rPr>
                <w:rFonts w:ascii="Aptos" w:hAnsi="Aptos"/>
                <w:b w:val="0"/>
                <w:color w:val="2D3742"/>
                <w:sz w:val="14"/>
              </w:rPr>
              <w:t>Good general compression for mixed numeric and categorical columns; benchmark against Snappy on actual synthetic workload.</w:t>
            </w:r>
          </w:p>
        </w:tc>
      </w:tr>
      <w:tr>
        <w:tc>
          <w:tcPr>
            <w:tcW w:type="dxa" w:w="1800"/>
            <w:vAlign w:val="center"/>
          </w:tcPr>
          <w:p>
            <w:pPr>
              <w:spacing w:after="0"/>
            </w:pPr>
            <w:r/>
            <w:r>
              <w:rPr>
                <w:rFonts w:ascii="Aptos" w:hAnsi="Aptos"/>
                <w:b w:val="0"/>
                <w:color w:val="2D3742"/>
                <w:sz w:val="14"/>
              </w:rPr>
              <w:t>Partitioning</w:t>
            </w:r>
          </w:p>
        </w:tc>
        <w:tc>
          <w:tcPr>
            <w:tcW w:type="dxa" w:w="3672"/>
            <w:vAlign w:val="center"/>
          </w:tcPr>
          <w:p>
            <w:r>
              <w:t>Events: days(decision_ts); child tables: days(created_at), set at scoring time.</w:t>
            </w:r>
          </w:p>
        </w:tc>
        <w:tc>
          <w:tcPr>
            <w:tcW w:type="dxa" w:w="4824"/>
            <w:vAlign w:val="center"/>
          </w:tcPr>
          <w:p>
            <w:pPr>
              <w:spacing w:after="0"/>
            </w:pPr>
            <w:r/>
            <w:r>
              <w:rPr>
                <w:rFonts w:ascii="Aptos" w:hAnsi="Aptos"/>
                <w:b w:val="0"/>
                <w:color w:val="2D3742"/>
                <w:sz w:val="14"/>
              </w:rPr>
              <w:t>Supports date-bounded audit lookups and avoids high-cardinality borrower partitions.</w:t>
            </w:r>
          </w:p>
        </w:tc>
      </w:tr>
      <w:tr>
        <w:tc>
          <w:tcPr>
            <w:tcW w:type="dxa" w:w="1800"/>
            <w:vAlign w:val="center"/>
            <w:shd w:fill="F1F6F8"/>
          </w:tcPr>
          <w:p>
            <w:pPr>
              <w:spacing w:after="0"/>
            </w:pPr>
            <w:r/>
            <w:r>
              <w:rPr>
                <w:rFonts w:ascii="Aptos" w:hAnsi="Aptos"/>
                <w:b w:val="0"/>
                <w:color w:val="2D3742"/>
                <w:sz w:val="14"/>
              </w:rPr>
              <w:t>Sort / distribution</w:t>
            </w:r>
          </w:p>
        </w:tc>
        <w:tc>
          <w:tcPr>
            <w:tcW w:type="dxa" w:w="3672"/>
            <w:vAlign w:val="center"/>
            <w:shd w:fill="F1F6F8"/>
          </w:tcPr>
          <w:p>
            <w:pPr>
              <w:spacing w:after="0"/>
            </w:pPr>
            <w:r/>
            <w:r>
              <w:rPr>
                <w:rFonts w:ascii="Aptos" w:hAnsi="Aptos"/>
                <w:b w:val="0"/>
                <w:color w:val="2D3742"/>
                <w:sz w:val="14"/>
              </w:rPr>
              <w:t>Sort by `prediction_id`; optionally write-distribute by `decision_date`</w:t>
            </w:r>
          </w:p>
        </w:tc>
        <w:tc>
          <w:tcPr>
            <w:tcW w:type="dxa" w:w="4824"/>
            <w:vAlign w:val="center"/>
            <w:shd w:fill="F1F6F8"/>
          </w:tcPr>
          <w:p>
            <w:pPr>
              <w:spacing w:after="0"/>
            </w:pPr>
            <w:r/>
            <w:r>
              <w:rPr>
                <w:rFonts w:ascii="Aptos" w:hAnsi="Aptos"/>
                <w:b w:val="0"/>
                <w:color w:val="2D3742"/>
                <w:sz w:val="14"/>
              </w:rPr>
              <w:t>Improves targeted event joins; do not partition by prediction/customer ID.</w:t>
            </w:r>
          </w:p>
        </w:tc>
      </w:tr>
      <w:tr>
        <w:tc>
          <w:tcPr>
            <w:tcW w:type="dxa" w:w="1800"/>
            <w:vAlign w:val="center"/>
          </w:tcPr>
          <w:p>
            <w:pPr>
              <w:spacing w:after="0"/>
            </w:pPr>
            <w:r/>
            <w:r>
              <w:rPr>
                <w:rFonts w:ascii="Aptos" w:hAnsi="Aptos"/>
                <w:b w:val="0"/>
                <w:color w:val="2D3742"/>
                <w:sz w:val="14"/>
              </w:rPr>
              <w:t>File sizing</w:t>
            </w:r>
          </w:p>
        </w:tc>
        <w:tc>
          <w:tcPr>
            <w:tcW w:type="dxa" w:w="3672"/>
            <w:vAlign w:val="center"/>
          </w:tcPr>
          <w:p>
            <w:pPr>
              <w:spacing w:after="0"/>
            </w:pPr>
            <w:r/>
            <w:r>
              <w:rPr>
                <w:rFonts w:ascii="Aptos" w:hAnsi="Aptos"/>
                <w:b w:val="0"/>
                <w:color w:val="2D3742"/>
                <w:sz w:val="14"/>
              </w:rPr>
              <w:t>Target 256–512 MiB data files after compaction</w:t>
            </w:r>
          </w:p>
        </w:tc>
        <w:tc>
          <w:tcPr>
            <w:tcW w:type="dxa" w:w="4824"/>
            <w:vAlign w:val="center"/>
          </w:tcPr>
          <w:p>
            <w:pPr>
              <w:spacing w:after="0"/>
            </w:pPr>
            <w:r/>
            <w:r>
              <w:rPr>
                <w:rFonts w:ascii="Aptos" w:hAnsi="Aptos"/>
                <w:b w:val="0"/>
                <w:color w:val="2D3742"/>
                <w:sz w:val="14"/>
              </w:rPr>
              <w:t>Avoid a small file per prediction; tune against engine and object-store behavior.</w:t>
            </w:r>
          </w:p>
        </w:tc>
      </w:tr>
      <w:tr>
        <w:tc>
          <w:tcPr>
            <w:tcW w:type="dxa" w:w="1800"/>
            <w:vAlign w:val="center"/>
            <w:shd w:fill="F1F6F8"/>
          </w:tcPr>
          <w:p>
            <w:pPr>
              <w:spacing w:after="0"/>
            </w:pPr>
            <w:r/>
            <w:r>
              <w:rPr>
                <w:rFonts w:ascii="Aptos" w:hAnsi="Aptos"/>
                <w:b w:val="0"/>
                <w:color w:val="2D3742"/>
                <w:sz w:val="14"/>
              </w:rPr>
              <w:t>Metadata</w:t>
            </w:r>
          </w:p>
        </w:tc>
        <w:tc>
          <w:tcPr>
            <w:tcW w:type="dxa" w:w="3672"/>
            <w:vAlign w:val="center"/>
            <w:shd w:fill="F1F6F8"/>
          </w:tcPr>
          <w:p>
            <w:pPr>
              <w:spacing w:after="0"/>
            </w:pPr>
            <w:r/>
            <w:r>
              <w:rPr>
                <w:rFonts w:ascii="Aptos" w:hAnsi="Aptos"/>
                <w:b w:val="0"/>
                <w:color w:val="2D3742"/>
                <w:sz w:val="14"/>
              </w:rPr>
              <w:t>Manifest and metadata JSON retained with snapshots</w:t>
            </w:r>
          </w:p>
        </w:tc>
        <w:tc>
          <w:tcPr>
            <w:tcW w:type="dxa" w:w="4824"/>
            <w:vAlign w:val="center"/>
            <w:shd w:fill="F1F6F8"/>
          </w:tcPr>
          <w:p>
            <w:pPr>
              <w:spacing w:after="0"/>
            </w:pPr>
            <w:r/>
            <w:r>
              <w:rPr>
                <w:rFonts w:ascii="Aptos" w:hAnsi="Aptos"/>
                <w:b w:val="0"/>
                <w:color w:val="2D3742"/>
                <w:sz w:val="14"/>
              </w:rPr>
              <w:t>Iceberg metadata enables snapshot ID/time travel and schema history.</w:t>
            </w:r>
          </w:p>
        </w:tc>
      </w:tr>
    </w:tbl>
    <w:p>
      <w:pPr>
        <w:spacing w:after="0"/>
      </w:pPr>
    </w:p>
    <w:p>
      <w:r>
        <w:t>For a small course demo, daily partitions may create many mostly empty partitions. Use monthly `months(decision_ts)` instead if the data volume is low; record the chosen transform and compare query scan size. Partition fields should be hidden transforms in Iceberg where supported. Do not partition by sensitive or high-cardinality attributes.</w:t>
      </w:r>
    </w:p>
    <w:p>
      <w:pPr>
        <w:pStyle w:val="Heading2"/>
      </w:pPr>
      <w:r>
        <w:t>Time-travel and reproducibility controls</w:t>
      </w:r>
    </w:p>
    <w:p>
      <w:pPr>
        <w:pStyle w:val="ListBullet"/>
        <w:spacing w:after="40"/>
      </w:pPr>
      <w:r>
        <w:t>Write audit records append-only. Corrections create a new event with `supersedes_prediction_id` (if needed), never an in-place edit to the prior decision.</w:t>
      </w:r>
    </w:p>
    <w:p>
      <w:pPr>
        <w:pStyle w:val="ListBullet"/>
        <w:spacing w:after="40"/>
      </w:pPr>
      <w:r>
        <w:t>Persist prediction, snapshot and explanation rows in one logical write batch and include stable IDs so partial writes can be detected and repaired.</w:t>
      </w:r>
    </w:p>
    <w:p>
      <w:pPr>
        <w:pStyle w:val="ListBullet"/>
        <w:spacing w:after="40"/>
      </w:pPr>
      <w:r>
        <w:t>Keep model artifact, preprocessing code, explainer package/version, feature schema, decision threshold and reason-code map immutable by digest/version.</w:t>
      </w:r>
    </w:p>
    <w:p>
      <w:pPr>
        <w:pStyle w:val="ListBullet"/>
        <w:spacing w:after="40"/>
      </w:pPr>
      <w:r>
        <w:t>Set snapshot expiration and orphan-file cleanup beyond the project audit window; for this demo, retain all snapshots until evaluation is complete. Never expire a snapshot needed by the reproducibility test.</w:t>
      </w:r>
    </w:p>
    <w:p>
      <w:pPr>
        <w:pStyle w:val="ListBullet"/>
        <w:spacing w:after="40"/>
      </w:pPr>
      <w:r>
        <w:t>Capture the Iceberg snapshot ID / commit timestamp for each write batch in a run manifest; historical reads pin to that snapshot and exact prediction ID.</w:t>
      </w:r>
    </w:p>
    <w:p>
      <w:pPr>
        <w:pStyle w:val="Heading2"/>
      </w:pPr>
      <w:r>
        <w:t>Illustrative DDL</w:t>
      </w:r>
    </w:p>
    <w:tbl>
      <w:tblPr>
        <w:tblStyle w:val="TableGrid"/>
        <w:tblW w:type="auto" w:w="0"/>
        <w:tblLook w:firstColumn="1" w:firstRow="1" w:lastColumn="0" w:lastRow="0" w:noHBand="0" w:noVBand="1" w:val="04A0"/>
      </w:tblPr>
      <w:tblGrid>
        <w:gridCol w:w="10166"/>
      </w:tblGrid>
      <w:tr>
        <w:tc>
          <w:tcPr>
            <w:tcW w:type="dxa" w:w="10166"/>
            <w:shd w:fill="F1F6F8"/>
          </w:tcPr>
          <w:p>
            <w:pPr>
              <w:spacing w:after="0"/>
            </w:pPr>
            <w:r/>
            <w:r>
              <w:rPr>
                <w:rFonts w:ascii="Consolas" w:hAnsi="Consolas"/>
                <w:color w:val="123047"/>
                <w:sz w:val="14"/>
              </w:rPr>
              <w:t>CREATE TABLE audit.prediction_events (</w:t>
            </w:r>
          </w:p>
          <w:p>
            <w:pPr>
              <w:spacing w:after="0"/>
            </w:pPr>
            <w:r>
              <w:rPr>
                <w:rFonts w:ascii="Consolas" w:hAnsi="Consolas"/>
                <w:color w:val="123047"/>
                <w:sz w:val="14"/>
              </w:rPr>
              <w:t xml:space="preserve">  prediction_id STRING, decision_ts TIMESTAMP, decision_date DATE,</w:t>
            </w:r>
          </w:p>
          <w:p>
            <w:pPr>
              <w:spacing w:after="0"/>
            </w:pPr>
            <w:r>
              <w:rPr>
                <w:rFonts w:ascii="Consolas" w:hAnsi="Consolas"/>
                <w:color w:val="123047"/>
                <w:sz w:val="14"/>
              </w:rPr>
              <w:t xml:space="preserve">  demo_decision STRING, risk_score DOUBLE, model_version STRING,</w:t>
            </w:r>
          </w:p>
          <w:p>
            <w:pPr>
              <w:spacing w:after="0"/>
            </w:pPr>
            <w:r>
              <w:rPr>
                <w:rFonts w:ascii="Consolas" w:hAnsi="Consolas"/>
                <w:color w:val="123047"/>
                <w:sz w:val="14"/>
              </w:rPr>
              <w:t xml:space="preserve">  input_snapshot_id STRING, explanation_id STRING,</w:t>
            </w:r>
          </w:p>
          <w:p>
            <w:pPr>
              <w:spacing w:after="0"/>
            </w:pPr>
            <w:r>
              <w:rPr>
                <w:rFonts w:ascii="Consolas" w:hAnsi="Consolas"/>
                <w:color w:val="123047"/>
                <w:sz w:val="14"/>
              </w:rPr>
              <w:t xml:space="preserve">  request_trace_id STRING, schema_version STRING</w:t>
            </w:r>
          </w:p>
          <w:p>
            <w:pPr>
              <w:spacing w:after="0"/>
            </w:pPr>
            <w:r>
              <w:rPr>
                <w:rFonts w:ascii="Consolas" w:hAnsi="Consolas"/>
                <w:color w:val="123047"/>
                <w:sz w:val="14"/>
              </w:rPr>
              <w:t>) USING iceberg PARTITIONED BY (days(decision_ts))</w:t>
            </w:r>
          </w:p>
          <w:p>
            <w:pPr>
              <w:spacing w:after="0"/>
            </w:pPr>
            <w:r>
              <w:rPr>
                <w:rFonts w:ascii="Consolas" w:hAnsi="Consolas"/>
                <w:color w:val="123047"/>
                <w:sz w:val="14"/>
              </w:rPr>
              <w:t>TBLPROPERTIES ('write.format.default' = 'parquet',</w:t>
            </w:r>
          </w:p>
          <w:p>
            <w:pPr>
              <w:spacing w:after="0"/>
            </w:pPr>
            <w:r>
              <w:rPr>
                <w:rFonts w:ascii="Consolas" w:hAnsi="Consolas"/>
                <w:color w:val="123047"/>
                <w:sz w:val="14"/>
              </w:rPr>
              <w:t xml:space="preserve">               'write.parquet.compression-codec' = 'zstd');</w:t>
            </w:r>
          </w:p>
        </w:tc>
      </w:tr>
    </w:tbl>
    <w:p>
      <w:pPr>
        <w:spacing w:after="0"/>
      </w:pPr>
    </w:p>
    <w:p>
      <w:r>
        <w:br w:type="page"/>
      </w:r>
    </w:p>
    <w:p>
      <w:pPr>
        <w:pStyle w:val="Heading1"/>
      </w:pPr>
      <w:r>
        <w:t>Queries, lineage and governance</w:t>
      </w:r>
    </w:p>
    <w:p>
      <w:pPr>
        <w:pStyle w:val="Heading2"/>
      </w:pPr>
      <w:r>
        <w:t>Historical decision lookup</w:t>
      </w:r>
    </w:p>
    <w:p>
      <w:r>
        <w:t>The serving query should filter by prediction ID first and join only its three linked artifacts. The API can return decision, score, model version, timestamp, explanation, and input hash; raw feature values should require an authorized audit role.</w:t>
      </w:r>
    </w:p>
    <w:tbl>
      <w:tblPr>
        <w:tblStyle w:val="TableGrid"/>
        <w:tblW w:type="auto" w:w="0"/>
        <w:tblLook w:firstColumn="1" w:firstRow="1" w:lastColumn="0" w:lastRow="0" w:noHBand="0" w:noVBand="1" w:val="04A0"/>
      </w:tblPr>
      <w:tblGrid>
        <w:gridCol w:w="10166"/>
      </w:tblGrid>
      <w:tr>
        <w:tc>
          <w:tcPr>
            <w:tcW w:type="dxa" w:w="10166"/>
            <w:shd w:fill="F1F6F8"/>
          </w:tcPr>
          <w:p>
            <w:pPr>
              <w:spacing w:after="0"/>
            </w:pPr>
            <w:r/>
            <w:r>
              <w:rPr>
                <w:rFonts w:ascii="Consolas" w:hAnsi="Consolas"/>
                <w:color w:val="123047"/>
                <w:sz w:val="14"/>
              </w:rPr>
              <w:t>SELECT p.prediction_id, p.decision_ts, p.demo_decision, p.risk_score,</w:t>
            </w:r>
          </w:p>
          <w:p>
            <w:pPr>
              <w:spacing w:after="0"/>
            </w:pPr>
            <w:r>
              <w:rPr>
                <w:rFonts w:ascii="Consolas" w:hAnsi="Consolas"/>
                <w:color w:val="123047"/>
                <w:sz w:val="14"/>
              </w:rPr>
              <w:t xml:space="preserve">       p.model_version, i.input_hash, e.explainer_name,</w:t>
            </w:r>
          </w:p>
          <w:p>
            <w:pPr>
              <w:spacing w:after="0"/>
            </w:pPr>
            <w:r>
              <w:rPr>
                <w:rFonts w:ascii="Consolas" w:hAnsi="Consolas"/>
                <w:color w:val="123047"/>
                <w:sz w:val="14"/>
              </w:rPr>
              <w:t xml:space="preserve">       e.explainer_version, e.reason_codes, e.explanation_json</w:t>
            </w:r>
          </w:p>
          <w:p>
            <w:pPr>
              <w:spacing w:after="0"/>
            </w:pPr>
            <w:r>
              <w:rPr>
                <w:rFonts w:ascii="Consolas" w:hAnsi="Consolas"/>
                <w:color w:val="123047"/>
                <w:sz w:val="14"/>
              </w:rPr>
              <w:t>FROM audit.prediction_events p</w:t>
            </w:r>
          </w:p>
          <w:p>
            <w:pPr>
              <w:spacing w:after="0"/>
            </w:pPr>
            <w:r>
              <w:rPr>
                <w:rFonts w:ascii="Consolas" w:hAnsi="Consolas"/>
                <w:color w:val="123047"/>
                <w:sz w:val="14"/>
              </w:rPr>
              <w:t>JOIN audit.input_snapshots i USING (input_snapshot_id)</w:t>
            </w:r>
          </w:p>
          <w:p>
            <w:pPr>
              <w:spacing w:after="0"/>
            </w:pPr>
            <w:r>
              <w:rPr>
                <w:rFonts w:ascii="Consolas" w:hAnsi="Consolas"/>
                <w:color w:val="123047"/>
                <w:sz w:val="14"/>
              </w:rPr>
              <w:t>JOIN audit.explanation_records e USING (explanation_id)</w:t>
            </w:r>
          </w:p>
          <w:p>
            <w:pPr>
              <w:spacing w:after="0"/>
            </w:pPr>
            <w:r>
              <w:rPr>
                <w:rFonts w:ascii="Consolas" w:hAnsi="Consolas"/>
                <w:color w:val="123047"/>
                <w:sz w:val="14"/>
              </w:rPr>
              <w:t>WHERE p.prediction_id = :prediction_id;</w:t>
            </w:r>
          </w:p>
        </w:tc>
      </w:tr>
    </w:tbl>
    <w:p>
      <w:pPr>
        <w:spacing w:after="0"/>
      </w:pPr>
    </w:p>
    <w:p>
      <w:r>
        <w:t>Keep this lookup as an indexed/metadata-pruned equality query with no full-table scan. Person 2 should measure p50/p95 latency, bytes scanned and rows returned over increasing synthetic volumes; architecture alone is not evidence of seconds-level performance.</w:t>
      </w:r>
    </w:p>
    <w:p>
      <w:pPr>
        <w:pStyle w:val="Heading2"/>
      </w:pPr>
      <w:r>
        <w:t>Lineage and data contract</w:t>
      </w:r>
    </w:p>
    <w:tbl>
      <w:tblPr>
        <w:tblStyle w:val="TableGrid"/>
        <w:tblW w:type="auto" w:w="0"/>
        <w:tblLook w:firstColumn="1" w:firstRow="1" w:lastColumn="0" w:lastRow="0" w:noHBand="0" w:noVBand="1" w:val="04A0"/>
      </w:tblPr>
      <w:tblGrid>
        <w:gridCol w:w="10166"/>
      </w:tblGrid>
      <w:tr>
        <w:tc>
          <w:tcPr>
            <w:tcW w:type="dxa" w:w="10166"/>
            <w:shd w:fill="F1F6F8"/>
          </w:tcPr>
          <w:p>
            <w:pPr>
              <w:spacing w:after="0"/>
            </w:pPr>
            <w:r/>
            <w:r>
              <w:rPr>
                <w:rFonts w:ascii="Consolas" w:hAnsi="Consolas"/>
                <w:color w:val="123047"/>
                <w:sz w:val="14"/>
              </w:rPr>
              <w:t>Synthetic generator + seed/version</w:t>
            </w:r>
          </w:p>
          <w:p>
            <w:pPr>
              <w:spacing w:after="0"/>
            </w:pPr>
            <w:r>
              <w:rPr>
                <w:rFonts w:ascii="Consolas" w:hAnsi="Consolas"/>
                <w:color w:val="123047"/>
                <w:sz w:val="14"/>
              </w:rPr>
              <w:t xml:space="preserve">  → normalized feature contract (feature_schema_version)</w:t>
            </w:r>
          </w:p>
          <w:p>
            <w:pPr>
              <w:spacing w:after="0"/>
            </w:pPr>
            <w:r>
              <w:rPr>
                <w:rFonts w:ascii="Consolas" w:hAnsi="Consolas"/>
                <w:color w:val="123047"/>
                <w:sz w:val="14"/>
              </w:rPr>
              <w:t xml:space="preserve">  → model artifact digest + preprocessing code commit</w:t>
            </w:r>
          </w:p>
          <w:p>
            <w:pPr>
              <w:spacing w:after="0"/>
            </w:pPr>
            <w:r>
              <w:rPr>
                <w:rFonts w:ascii="Consolas" w:hAnsi="Consolas"/>
                <w:color w:val="123047"/>
                <w:sz w:val="14"/>
              </w:rPr>
              <w:t xml:space="preserve">  → prediction event + threshold policy version</w:t>
            </w:r>
          </w:p>
          <w:p>
            <w:pPr>
              <w:spacing w:after="0"/>
            </w:pPr>
            <w:r>
              <w:rPr>
                <w:rFonts w:ascii="Consolas" w:hAnsi="Consolas"/>
                <w:color w:val="123047"/>
                <w:sz w:val="14"/>
              </w:rPr>
              <w:t xml:space="preserve">  → explainer implementation/version + reason-code map</w:t>
            </w:r>
          </w:p>
          <w:p>
            <w:pPr>
              <w:spacing w:after="0"/>
            </w:pPr>
            <w:r>
              <w:rPr>
                <w:rFonts w:ascii="Consolas" w:hAnsi="Consolas"/>
                <w:color w:val="123047"/>
                <w:sz w:val="14"/>
              </w:rPr>
              <w:t xml:space="preserve">  → Iceberg table snapshot ID + Parquet file metadata</w:t>
            </w:r>
          </w:p>
        </w:tc>
      </w:tr>
    </w:tbl>
    <w:p>
      <w:pPr>
        <w:spacing w:after="0"/>
      </w:pPr>
    </w:p>
    <w:p>
      <w:r>
        <w:t>Record dataset source, version, license, access date, checksum and transformations in the project data card. The Zenodo page describes source fields and target semantics but its rights section does not visibly state a license in the inspected page. The pre-existing project draft says CC BY 4.0; verify the license terms from an authoritative record before redistribution. For this project’s no-real-personal-data rule, use a synthetic dataset regardless.</w:t>
      </w:r>
    </w:p>
    <w:p>
      <w:pPr>
        <w:pStyle w:val="Heading2"/>
      </w:pPr>
      <w:r>
        <w:t>Acceptance checks for the storage design</w:t>
      </w:r>
    </w:p>
    <w:p>
      <w:pPr>
        <w:pStyle w:val="ListBullet"/>
        <w:spacing w:after="40"/>
      </w:pPr>
      <w:r>
        <w:t>Every event resolves to exactly one input snapshot, explanation and model build; orphan and duplicate checks run at write time.</w:t>
      </w:r>
    </w:p>
    <w:p>
      <w:pPr>
        <w:pStyle w:val="ListBullet"/>
        <w:spacing w:after="40"/>
      </w:pPr>
      <w:r>
        <w:t>Hash verification reproduces the stored canonical input and explanation hashes.</w:t>
      </w:r>
    </w:p>
    <w:p>
      <w:pPr>
        <w:pStyle w:val="ListBullet"/>
        <w:spacing w:after="40"/>
      </w:pPr>
      <w:r>
        <w:t>A time-travel query at the recorded Iceberg snapshot returns the original row after a later append or schema evolution.</w:t>
      </w:r>
    </w:p>
    <w:p>
      <w:pPr>
        <w:pStyle w:val="ListBullet"/>
        <w:spacing w:after="40"/>
      </w:pPr>
      <w:r>
        <w:t>Re-running the pinned model and preprocessing artifacts on the stored snapshot reproduces the stored score within a declared numeric tolerance and reproduces the decision exactly.</w:t>
      </w:r>
    </w:p>
    <w:p>
      <w:pPr>
        <w:pStyle w:val="ListBullet"/>
        <w:spacing w:after="40"/>
      </w:pPr>
      <w:r>
        <w:t>A masked synthetic fixture proves the lookup response excludes raw identifiers and free text; performance is reported with measured query timings by Person 2.</w:t>
      </w:r>
    </w:p>
    <w:p>
      <w:pPr>
        <w:spacing w:before="120" w:after="0"/>
      </w:pPr>
      <w:r>
        <w:rPr>
          <w:i/>
          <w:color w:val="64748B"/>
          <w:sz w:val="14"/>
        </w:rPr>
        <w:t>Source note: Dataset metadata and field definitions: Ariza-Garzón et al., “Lending Club loan dataset for granting models,” Zenodo record 11295916 (2024), https://doi.org/10.5281/zenodo.11295916. Course requirements take precedence over the dataset suggestion.</w:t>
      </w:r>
    </w:p>
    <w:sectPr w:rsidR="00FC693F" w:rsidRPr="0006063C" w:rsidSect="00034616">
      <w:headerReference w:type="default" r:id="rId9"/>
      <w:footerReference w:type="default" r:id="rId10"/>
      <w:pgSz w:w="12240" w:h="15840"/>
      <w:pgMar w:top="893"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Storage design • Explanation Service with an Audit Trail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67D9A"/>
        <w:sz w:val="16"/>
      </w:rPr>
      <w:t>BDRAI  /  MINI PROJECT  /  PERSON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D374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123047"/>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67D9A"/>
      <w:sz w:val="22"/>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167D9A"/>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Aptos Display" w:hAnsi="Aptos Display"/>
      <w:b/>
      <w:color w:val="12304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 Decision Audit Storage Design</dc:title>
  <dc:subject>Person 1 storage schema, Iceberg partitioning, data contracts and lineage</dc:subject>
  <dc:creator>BDRAI Mini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