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3E76B6" w14:textId="6676A2F2" w:rsidR="0001711F" w:rsidRPr="0001711F" w:rsidRDefault="0001711F" w:rsidP="0001711F">
      <w:pPr>
        <w:jc w:val="center"/>
        <w:rPr>
          <w:b/>
          <w:bCs/>
        </w:rPr>
      </w:pPr>
      <w:r>
        <w:rPr>
          <w:b/>
          <w:bCs/>
        </w:rPr>
        <w:t>Incentivizing Anonymous Online Surveys while Maintaining Anonymity</w:t>
      </w:r>
    </w:p>
    <w:p w14:paraId="6D5717A9" w14:textId="1B5FCFD6" w:rsidR="00392D5A" w:rsidRPr="00361EF6" w:rsidRDefault="0001711F" w:rsidP="00361EF6">
      <w:r>
        <w:t>I</w:t>
      </w:r>
      <w:r w:rsidR="00361EF6" w:rsidRPr="00361EF6">
        <w:t>ncentives in survey-based research have been shown to be indispensable for achieving good response rates. As researchers increasingly conduct surveys online, they face the need to collect contact information from respondents to distribute incentives</w:t>
      </w:r>
      <w:r>
        <w:t xml:space="preserve">. Such </w:t>
      </w:r>
      <w:r w:rsidR="00361EF6" w:rsidRPr="00361EF6">
        <w:t xml:space="preserve">information </w:t>
      </w:r>
      <w:r>
        <w:t>is</w:t>
      </w:r>
      <w:r w:rsidR="00361EF6" w:rsidRPr="00361EF6">
        <w:t xml:space="preserve"> in many cases </w:t>
      </w:r>
      <w:r>
        <w:t xml:space="preserve">irrelevant </w:t>
      </w:r>
      <w:r w:rsidR="00361EF6" w:rsidRPr="00361EF6">
        <w:t xml:space="preserve">to the research itself and renders researchers liable for protecting personally identifiable information while satisfying </w:t>
      </w:r>
      <w:r>
        <w:t>IRB</w:t>
      </w:r>
      <w:r w:rsidR="00361EF6" w:rsidRPr="00361EF6">
        <w:t xml:space="preserve"> requirements. While commercial survey incentive platforms offer researchers the opportunity to handle incentive distribution, this service is often cost-</w:t>
      </w:r>
      <w:r w:rsidR="0023195C" w:rsidRPr="00361EF6">
        <w:t>prohibitive and</w:t>
      </w:r>
      <w:r w:rsidR="00361EF6" w:rsidRPr="00361EF6">
        <w:t xml:space="preserve"> requires respondents to provide their contact information to a third party. The prevailing alternative</w:t>
      </w:r>
      <w:r w:rsidR="0023195C">
        <w:t xml:space="preserve"> of </w:t>
      </w:r>
      <w:r w:rsidR="00361EF6" w:rsidRPr="00361EF6">
        <w:t>directing respondents to a separate contact-information survey after completing an anonymous main survey</w:t>
      </w:r>
      <w:r w:rsidR="0023195C">
        <w:t xml:space="preserve"> </w:t>
      </w:r>
      <w:r w:rsidR="00361EF6" w:rsidRPr="00361EF6">
        <w:t xml:space="preserve">introduces three underappreciated threats to anonymity that standard survey platforms fail to address. First, timestamps stored by both surveys can be cross-referenced to re-identify respondents. Second, the sequential ordering of responses across the two datasets can be matched row-by-row to link identities to answers. Third, without verification, respondents may submit multiple or fraudulent contact entries to claim additional rewards. This note presents a lightweight, open-source framework </w:t>
      </w:r>
      <w:r w:rsidR="0023195C">
        <w:t xml:space="preserve">and tool </w:t>
      </w:r>
      <w:r w:rsidR="00361EF6" w:rsidRPr="00361EF6">
        <w:t xml:space="preserve">that functions as privacy-preserving middleware between a main survey instrument and the incentive distribution process. The </w:t>
      </w:r>
      <w:r w:rsidR="0023195C">
        <w:t>tool</w:t>
      </w:r>
      <w:r w:rsidR="00361EF6" w:rsidRPr="00361EF6">
        <w:t xml:space="preserve"> suppresses timestamp storage, randomly shuffles the order of collected contact information after each new submission, and validates submitted entries against a pre-registered eligibility list to prevent duplicate or unauthorized submissions. The </w:t>
      </w:r>
      <w:r w:rsidR="0023195C">
        <w:t>tool</w:t>
      </w:r>
      <w:r w:rsidR="00361EF6" w:rsidRPr="00361EF6">
        <w:t xml:space="preserve"> is freely available, requires minimal technical expertise to deploy, and is compatible with all major survey platforms. This </w:t>
      </w:r>
      <w:r w:rsidR="0023195C">
        <w:t>paper</w:t>
      </w:r>
      <w:r w:rsidR="00361EF6" w:rsidRPr="00361EF6">
        <w:t xml:space="preserve"> contributes a practical methodological resource for researchers who need to reconcile incentive provision with anonymity guarantees in </w:t>
      </w:r>
      <w:r w:rsidR="0023195C">
        <w:t xml:space="preserve">online </w:t>
      </w:r>
      <w:r w:rsidR="00361EF6" w:rsidRPr="00361EF6">
        <w:t>survey research.</w:t>
      </w:r>
    </w:p>
    <w:sectPr w:rsidR="00392D5A" w:rsidRPr="00361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4D"/>
    <w:rsid w:val="0001711F"/>
    <w:rsid w:val="00025CBB"/>
    <w:rsid w:val="0023195C"/>
    <w:rsid w:val="002D5952"/>
    <w:rsid w:val="00361EF6"/>
    <w:rsid w:val="00392D5A"/>
    <w:rsid w:val="00446A42"/>
    <w:rsid w:val="00525F95"/>
    <w:rsid w:val="005C6DAD"/>
    <w:rsid w:val="00922541"/>
    <w:rsid w:val="00AC264D"/>
    <w:rsid w:val="00AF70D7"/>
    <w:rsid w:val="00B471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8E626EE"/>
  <w15:chartTrackingRefBased/>
  <w15:docId w15:val="{8D675895-1BAF-0341-9E6C-A6FB1127A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6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6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6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6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6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6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6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6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6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6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64D"/>
    <w:rPr>
      <w:rFonts w:eastAsiaTheme="majorEastAsia" w:cstheme="majorBidi"/>
      <w:color w:val="272727" w:themeColor="text1" w:themeTint="D8"/>
    </w:rPr>
  </w:style>
  <w:style w:type="paragraph" w:styleId="Title">
    <w:name w:val="Title"/>
    <w:basedOn w:val="Normal"/>
    <w:next w:val="Normal"/>
    <w:link w:val="TitleChar"/>
    <w:uiPriority w:val="10"/>
    <w:qFormat/>
    <w:rsid w:val="00AC2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64D"/>
    <w:pPr>
      <w:spacing w:before="160"/>
      <w:jc w:val="center"/>
    </w:pPr>
    <w:rPr>
      <w:i/>
      <w:iCs/>
      <w:color w:val="404040" w:themeColor="text1" w:themeTint="BF"/>
    </w:rPr>
  </w:style>
  <w:style w:type="character" w:customStyle="1" w:styleId="QuoteChar">
    <w:name w:val="Quote Char"/>
    <w:basedOn w:val="DefaultParagraphFont"/>
    <w:link w:val="Quote"/>
    <w:uiPriority w:val="29"/>
    <w:rsid w:val="00AC264D"/>
    <w:rPr>
      <w:i/>
      <w:iCs/>
      <w:color w:val="404040" w:themeColor="text1" w:themeTint="BF"/>
    </w:rPr>
  </w:style>
  <w:style w:type="paragraph" w:styleId="ListParagraph">
    <w:name w:val="List Paragraph"/>
    <w:basedOn w:val="Normal"/>
    <w:uiPriority w:val="34"/>
    <w:qFormat/>
    <w:rsid w:val="00AC264D"/>
    <w:pPr>
      <w:ind w:left="720"/>
      <w:contextualSpacing/>
    </w:pPr>
  </w:style>
  <w:style w:type="character" w:styleId="IntenseEmphasis">
    <w:name w:val="Intense Emphasis"/>
    <w:basedOn w:val="DefaultParagraphFont"/>
    <w:uiPriority w:val="21"/>
    <w:qFormat/>
    <w:rsid w:val="00AC264D"/>
    <w:rPr>
      <w:i/>
      <w:iCs/>
      <w:color w:val="2F5496" w:themeColor="accent1" w:themeShade="BF"/>
    </w:rPr>
  </w:style>
  <w:style w:type="paragraph" w:styleId="IntenseQuote">
    <w:name w:val="Intense Quote"/>
    <w:basedOn w:val="Normal"/>
    <w:next w:val="Normal"/>
    <w:link w:val="IntenseQuoteChar"/>
    <w:uiPriority w:val="30"/>
    <w:qFormat/>
    <w:rsid w:val="00AC26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64D"/>
    <w:rPr>
      <w:i/>
      <w:iCs/>
      <w:color w:val="2F5496" w:themeColor="accent1" w:themeShade="BF"/>
    </w:rPr>
  </w:style>
  <w:style w:type="character" w:styleId="IntenseReference">
    <w:name w:val="Intense Reference"/>
    <w:basedOn w:val="DefaultParagraphFont"/>
    <w:uiPriority w:val="32"/>
    <w:qFormat/>
    <w:rsid w:val="00AC26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BE228-71AD-9A49-AAE3-6158628D4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Sabry</dc:creator>
  <cp:keywords/>
  <dc:description/>
  <cp:lastModifiedBy>Mohamed Sabry</cp:lastModifiedBy>
  <cp:revision>2</cp:revision>
  <dcterms:created xsi:type="dcterms:W3CDTF">2026-07-07T23:06:00Z</dcterms:created>
  <dcterms:modified xsi:type="dcterms:W3CDTF">2026-07-08T13:01:00Z</dcterms:modified>
</cp:coreProperties>
</file>