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OCS</w:t>
      </w:r>
      <w:r>
        <w:t xml:space="preserve"> </w:t>
      </w:r>
      <w:r>
        <w:t xml:space="preserve">risk</w:t>
      </w:r>
      <w:r>
        <w:t xml:space="preserve"> </w:t>
      </w:r>
      <w:r>
        <w:t xml:space="preserve">calculator</w:t>
      </w:r>
    </w:p>
    <w:p>
      <w:pPr>
        <w:pStyle w:val="Author"/>
      </w:pPr>
      <w:r>
        <w:t xml:space="preserve">Mohsen</w:t>
      </w:r>
      <w:r>
        <w:t xml:space="preserve"> </w:t>
      </w:r>
      <w:r>
        <w:t xml:space="preserve">Sadatsafavi</w:t>
      </w:r>
      <w:r>
        <w:t xml:space="preserve"> </w:t>
      </w:r>
      <w:r>
        <w:t xml:space="preserve">(NAPTIA</w:t>
      </w:r>
      <w:r>
        <w:t xml:space="preserve"> </w:t>
      </w:r>
      <w:r>
        <w:t xml:space="preserve">Consultation)</w:t>
      </w:r>
    </w:p>
    <w:p>
      <w:pPr>
        <w:pStyle w:val="Date"/>
      </w:pPr>
      <w:r>
        <w:t xml:space="preserve">2023-06-21</w:t>
      </w:r>
    </w:p>
    <w:bookmarkStart w:id="21" w:name="update-from-the-last-meeting"/>
    <w:p>
      <w:pPr>
        <w:pStyle w:val="Heading2"/>
      </w:pPr>
      <w:r>
        <w:t xml:space="preserve">Update from the last meeting</w:t>
      </w:r>
    </w:p>
    <w:p>
      <w:pPr>
        <w:pStyle w:val="FirstParagraph"/>
      </w:pPr>
      <w:r>
        <w:t xml:space="preserve">According to the agreement made in the previous meeting, the focus will be on displaying the relative risk associated with each outcome as reported in</w:t>
      </w:r>
      <w:r>
        <w:t xml:space="preserve"> </w:t>
      </w:r>
      <w:hyperlink r:id="rId20">
        <w:r>
          <w:rPr>
            <w:rStyle w:val="Hyperlink"/>
          </w:rPr>
          <w:t xml:space="preserve">Sullivan et al</w:t>
        </w:r>
      </w:hyperlink>
      <w:r>
        <w:t xml:space="preserve">. As such, we will no longer model background risk.</w:t>
      </w:r>
    </w:p>
    <w:bookmarkEnd w:id="21"/>
    <w:bookmarkStart w:id="23" w:name="background"/>
    <w:p>
      <w:pPr>
        <w:pStyle w:val="Heading2"/>
      </w:pPr>
      <w:r>
        <w:t xml:space="preserve">Background</w:t>
      </w:r>
    </w:p>
    <w:p>
      <w:pPr>
        <w:pStyle w:val="FirstParagraph"/>
      </w:pPr>
      <w:r>
        <w:t xml:space="preserve">The purpose of this project is to create a Web App for quantifying the relative risk of long-term oral corticosteroid (OCS) use in patients with asthma. This will require two steps of</w:t>
      </w:r>
    </w:p>
    <w:p>
      <w:pPr>
        <w:numPr>
          <w:ilvl w:val="0"/>
          <w:numId w:val="1001"/>
        </w:numPr>
      </w:pPr>
      <w:r>
        <w:t xml:space="preserve">Identifying relevant adverse events</w:t>
      </w:r>
    </w:p>
    <w:p>
      <w:pPr>
        <w:numPr>
          <w:ilvl w:val="0"/>
          <w:numId w:val="1001"/>
        </w:numPr>
      </w:pPr>
      <w:r>
        <w:t xml:space="preserve">Estimating the relative effect (risk ratio, hazard ratio, or odds ratio) of using OCS.</w:t>
      </w:r>
    </w:p>
    <w:p>
      <w:pPr>
        <w:pStyle w:val="FirstParagraph"/>
      </w:pPr>
      <w:r>
        <w:t xml:space="preserve">We will also model the dose-response association which will capture the relationship between intensity of use, history of use, and risk of outcomes.</w:t>
      </w:r>
    </w:p>
    <w:p>
      <w:pPr>
        <w:pStyle w:val="BodyText"/>
      </w:pPr>
      <w:r>
        <w:t xml:space="preserve">Based on a careful review of the literature, the two most important paper appear to be</w:t>
      </w:r>
      <w:r>
        <w:t xml:space="preserve"> </w:t>
      </w:r>
      <w:hyperlink r:id="rId22">
        <w:r>
          <w:rPr>
            <w:rStyle w:val="Hyperlink"/>
          </w:rPr>
          <w:t xml:space="preserve">Efraij et al</w:t>
        </w:r>
      </w:hyperlink>
      <w:r>
        <w:t xml:space="preserve"> </w:t>
      </w:r>
      <w:r>
        <w:t xml:space="preserve">and</w:t>
      </w:r>
      <w:r>
        <w:t xml:space="preserve"> </w:t>
      </w:r>
      <w:hyperlink r:id="rId20">
        <w:r>
          <w:rPr>
            <w:rStyle w:val="Hyperlink"/>
          </w:rPr>
          <w:t xml:space="preserve">Sullivan et al</w:t>
        </w:r>
      </w:hyperlink>
      <w:r>
        <w:t xml:space="preserve">. Efraid et al’s has the advantage that it is a systematic review. However, most results are based on only two studies. The paper by Sullivan, on the other hand, is a rigorous retrospective cohort study with a large sample size from the US.</w:t>
      </w:r>
    </w:p>
    <w:p>
      <w:pPr>
        <w:pStyle w:val="BodyText"/>
      </w:pPr>
      <w:r>
        <w:t xml:space="preserve">Per initial agreements, results are to be kept for a general case, and if evidence allows, stratified by sex and age. Exposure will be defined based on current and historical OCS use.</w:t>
      </w:r>
    </w:p>
    <w:bookmarkEnd w:id="23"/>
    <w:bookmarkStart w:id="24" w:name="exposure-to-ocs"/>
    <w:p>
      <w:pPr>
        <w:pStyle w:val="Heading2"/>
      </w:pPr>
      <w:r>
        <w:t xml:space="preserve">Exposure to OCS</w:t>
      </w:r>
    </w:p>
    <w:p>
      <w:pPr>
        <w:pStyle w:val="FirstParagraph"/>
      </w:pPr>
      <w:r>
        <w:t xml:space="preserve">The way this variable is defined is dictated by the empirical studies investigating its association with outcomes. The main paper underlying this project by Sullivan et al, uses the current classification:</w:t>
      </w:r>
    </w:p>
    <w:p>
      <w:pPr>
        <w:pStyle w:val="BodyText"/>
      </w:pPr>
      <w:r>
        <w:t xml:space="preserve">Current OCS dose:</w:t>
      </w:r>
      <w:r>
        <w:t xml:space="preserve"> </w:t>
      </w:r>
      <w:r>
        <w:t xml:space="preserve">- Low dose: 1-3 prescriptions per year</w:t>
      </w:r>
      <w:r>
        <w:t xml:space="preserve"> </w:t>
      </w:r>
      <w:r>
        <w:t xml:space="preserve">- High dose: &gt;3 prescriptions per year</w:t>
      </w:r>
    </w:p>
    <w:p>
      <w:pPr>
        <w:pStyle w:val="BodyText"/>
      </w:pPr>
      <w:r>
        <w:t xml:space="preserve">OCS use history:</w:t>
      </w:r>
      <w:r>
        <w:t xml:space="preserve"> </w:t>
      </w:r>
      <w:r>
        <w:t xml:space="preserve">- Number of years with low-dose exposure (1-3 prescriptions / y)</w:t>
      </w:r>
      <w:r>
        <w:t xml:space="preserve"> </w:t>
      </w:r>
      <w:r>
        <w:t xml:space="preserve">- Number of years with high-dose exposure (&gt; prescriptions / y)</w:t>
      </w:r>
    </w:p>
    <w:p>
      <w:pPr>
        <w:pStyle w:val="BodyText"/>
      </w:pPr>
      <w:r>
        <w:t xml:space="preserve">To make this simple, I suggest that we classify the exposure as following three questions:</w:t>
      </w:r>
    </w:p>
    <w:p>
      <w:pPr>
        <w:numPr>
          <w:ilvl w:val="0"/>
          <w:numId w:val="1002"/>
        </w:numPr>
      </w:pPr>
      <w:r>
        <w:t xml:space="preserve">Currently taking OCS:</w:t>
      </w:r>
      <w:r>
        <w:t xml:space="preserve"> </w:t>
      </w:r>
      <w:r>
        <w:t xml:space="preserve">No / Yes</w:t>
      </w:r>
    </w:p>
    <w:p>
      <w:pPr>
        <w:numPr>
          <w:ilvl w:val="0"/>
          <w:numId w:val="1002"/>
        </w:numPr>
      </w:pPr>
      <w:r>
        <w:t xml:space="preserve">Number of years taking OCS</w:t>
      </w:r>
      <w:r>
        <w:t xml:space="preserve"> </w:t>
      </w:r>
      <w:r>
        <w:t xml:space="preserve">[numerical input]</w:t>
      </w:r>
    </w:p>
    <w:p>
      <w:pPr>
        <w:numPr>
          <w:ilvl w:val="0"/>
          <w:numId w:val="1002"/>
        </w:numPr>
      </w:pPr>
      <w:r>
        <w:t xml:space="preserve">Historical OCS use intensity</w:t>
      </w:r>
      <w:r>
        <w:t xml:space="preserve"> </w:t>
      </w:r>
      <w:r>
        <w:t xml:space="preserve">Low dose / high dose</w:t>
      </w:r>
    </w:p>
    <w:bookmarkEnd w:id="24"/>
    <w:bookmarkStart w:id="25" w:name="adverse-events"/>
    <w:p>
      <w:pPr>
        <w:pStyle w:val="Heading2"/>
      </w:pPr>
      <w:r>
        <w:t xml:space="preserve">Adverse events</w:t>
      </w:r>
    </w:p>
    <w:p>
      <w:pPr>
        <w:pStyle w:val="FirstParagraph"/>
      </w:pPr>
      <w:r>
        <w:t xml:space="preserve">Per agreements made in the previous meeting, we will model all the outcomes associated with OCS in the study by Sullivan et al. These include Osteoporosis, Fractures, Metabolic syndrome, Hypertension, Obesity, Type 2 diabetes, Dyslipidemia, Avascular necrosis, Gastrointestinal ulcers/bleeds, Tuberculosis, Cataracts, Glaucoma.</w:t>
      </w:r>
    </w:p>
    <w:bookmarkEnd w:id="25"/>
    <w:bookmarkStart w:id="28" w:name="X3466e26ee0283abac9cee45b69249bb7d715d54"/>
    <w:p>
      <w:pPr>
        <w:pStyle w:val="Heading2"/>
      </w:pPr>
      <w:r>
        <w:t xml:space="preserve">Evidence synthesis and statistical analysis</w:t>
      </w:r>
    </w:p>
    <w:p>
      <w:pPr>
        <w:pStyle w:val="FirstParagraph"/>
      </w:pPr>
      <w:r>
        <w:t xml:space="preserve">The point estimate of the relative risk for each outcome is provided below</w:t>
      </w:r>
    </w:p>
    <w:tbl>
      <w:tblPr>
        <w:tblStyle w:val="Table"/>
        <w:tblW w:type="pct" w:w="5000"/>
        <w:tblLook w:firstRow="1" w:lastRow="0" w:firstColumn="0" w:lastColumn="0" w:noHBand="0" w:noVBand="0" w:val="0020"/>
        <w:jc w:val="start"/>
      </w:tblPr>
      <w:tblGrid>
        <w:gridCol w:w="2584"/>
        <w:gridCol w:w="1000"/>
        <w:gridCol w:w="1083"/>
        <w:gridCol w:w="1584"/>
        <w:gridCol w:w="1667"/>
      </w:tblGrid>
      <w:tr>
        <w:trPr>
          <w:tblHeader w:val="true"/>
        </w:trPr>
        <w:tc>
          <w:tcPr/>
          <w:p>
            <w:pPr>
              <w:pStyle w:val="Compact"/>
            </w:pPr>
          </w:p>
        </w:tc>
        <w:tc>
          <w:tcPr/>
          <w:p>
            <w:pPr>
              <w:pStyle w:val="Compact"/>
              <w:jc w:val="right"/>
            </w:pPr>
            <w:r>
              <w:t xml:space="preserve">cur_ocs_low</w:t>
            </w:r>
          </w:p>
        </w:tc>
        <w:tc>
          <w:tcPr/>
          <w:p>
            <w:pPr>
              <w:pStyle w:val="Compact"/>
              <w:jc w:val="right"/>
            </w:pPr>
            <w:r>
              <w:t xml:space="preserve">cur_ocs_high</w:t>
            </w:r>
          </w:p>
        </w:tc>
        <w:tc>
          <w:tcPr/>
          <w:p>
            <w:pPr>
              <w:pStyle w:val="Compact"/>
              <w:jc w:val="right"/>
            </w:pPr>
            <w:r>
              <w:t xml:space="preserve">hist_ocs_low_years</w:t>
            </w:r>
          </w:p>
        </w:tc>
        <w:tc>
          <w:tcPr/>
          <w:p>
            <w:pPr>
              <w:pStyle w:val="Compact"/>
              <w:jc w:val="right"/>
            </w:pPr>
            <w:r>
              <w:t xml:space="preserve">hist_ocs_high_years</w:t>
            </w:r>
          </w:p>
        </w:tc>
      </w:tr>
      <w:tr>
        <w:tc>
          <w:tcPr/>
          <w:p>
            <w:pPr>
              <w:pStyle w:val="Compact"/>
              <w:jc w:val="left"/>
            </w:pPr>
            <w:r>
              <w:t xml:space="preserve">Osteoporosis</w:t>
            </w:r>
          </w:p>
        </w:tc>
        <w:tc>
          <w:tcPr/>
          <w:p>
            <w:pPr>
              <w:pStyle w:val="Compact"/>
              <w:jc w:val="right"/>
            </w:pPr>
            <w:r>
              <w:t xml:space="preserve">1.048</w:t>
            </w:r>
          </w:p>
        </w:tc>
        <w:tc>
          <w:tcPr/>
          <w:p>
            <w:pPr>
              <w:pStyle w:val="Compact"/>
              <w:jc w:val="right"/>
            </w:pPr>
            <w:r>
              <w:t xml:space="preserve">1.442</w:t>
            </w:r>
          </w:p>
        </w:tc>
        <w:tc>
          <w:tcPr/>
          <w:p>
            <w:pPr>
              <w:pStyle w:val="Compact"/>
              <w:jc w:val="right"/>
            </w:pPr>
            <w:r>
              <w:t xml:space="preserve">1.089</w:t>
            </w:r>
          </w:p>
        </w:tc>
        <w:tc>
          <w:tcPr/>
          <w:p>
            <w:pPr>
              <w:pStyle w:val="Compact"/>
              <w:jc w:val="right"/>
            </w:pPr>
            <w:r>
              <w:t xml:space="preserve">1.138</w:t>
            </w:r>
          </w:p>
        </w:tc>
      </w:tr>
      <w:tr>
        <w:tc>
          <w:tcPr/>
          <w:p>
            <w:pPr>
              <w:pStyle w:val="Compact"/>
              <w:jc w:val="left"/>
            </w:pPr>
            <w:r>
              <w:t xml:space="preserve">Fractures</w:t>
            </w:r>
          </w:p>
        </w:tc>
        <w:tc>
          <w:tcPr/>
          <w:p>
            <w:pPr>
              <w:pStyle w:val="Compact"/>
              <w:jc w:val="right"/>
            </w:pPr>
            <w:r>
              <w:t xml:space="preserve">1.076</w:t>
            </w:r>
          </w:p>
        </w:tc>
        <w:tc>
          <w:tcPr/>
          <w:p>
            <w:pPr>
              <w:pStyle w:val="Compact"/>
              <w:jc w:val="right"/>
            </w:pPr>
            <w:r>
              <w:t xml:space="preserve">1.208</w:t>
            </w:r>
          </w:p>
        </w:tc>
        <w:tc>
          <w:tcPr/>
          <w:p>
            <w:pPr>
              <w:pStyle w:val="Compact"/>
              <w:jc w:val="right"/>
            </w:pPr>
            <w:r>
              <w:t xml:space="preserve">1.075</w:t>
            </w:r>
          </w:p>
        </w:tc>
        <w:tc>
          <w:tcPr/>
          <w:p>
            <w:pPr>
              <w:pStyle w:val="Compact"/>
              <w:jc w:val="right"/>
            </w:pPr>
            <w:r>
              <w:t xml:space="preserve">1.072</w:t>
            </w:r>
          </w:p>
        </w:tc>
      </w:tr>
      <w:tr>
        <w:tc>
          <w:tcPr/>
          <w:p>
            <w:pPr>
              <w:pStyle w:val="Compact"/>
              <w:jc w:val="left"/>
            </w:pPr>
            <w:r>
              <w:t xml:space="preserve">Metabolic syndrome</w:t>
            </w:r>
          </w:p>
        </w:tc>
        <w:tc>
          <w:tcPr/>
          <w:p>
            <w:pPr>
              <w:pStyle w:val="Compact"/>
              <w:jc w:val="right"/>
            </w:pPr>
            <w:r>
              <w:t xml:space="preserve">0.868</w:t>
            </w:r>
          </w:p>
        </w:tc>
        <w:tc>
          <w:tcPr/>
          <w:p>
            <w:pPr>
              <w:pStyle w:val="Compact"/>
              <w:jc w:val="right"/>
            </w:pPr>
            <w:r>
              <w:t xml:space="preserve">0.842</w:t>
            </w:r>
          </w:p>
        </w:tc>
        <w:tc>
          <w:tcPr/>
          <w:p>
            <w:pPr>
              <w:pStyle w:val="Compact"/>
              <w:jc w:val="right"/>
            </w:pPr>
            <w:r>
              <w:t xml:space="preserve">1.038</w:t>
            </w:r>
          </w:p>
        </w:tc>
        <w:tc>
          <w:tcPr/>
          <w:p>
            <w:pPr>
              <w:pStyle w:val="Compact"/>
              <w:jc w:val="right"/>
            </w:pPr>
            <w:r>
              <w:t xml:space="preserve">0.920</w:t>
            </w:r>
          </w:p>
        </w:tc>
      </w:tr>
      <w:tr>
        <w:tc>
          <w:tcPr/>
          <w:p>
            <w:pPr>
              <w:pStyle w:val="Compact"/>
              <w:jc w:val="left"/>
            </w:pPr>
            <w:r>
              <w:t xml:space="preserve">Hypertension</w:t>
            </w:r>
          </w:p>
        </w:tc>
        <w:tc>
          <w:tcPr/>
          <w:p>
            <w:pPr>
              <w:pStyle w:val="Compact"/>
              <w:jc w:val="right"/>
            </w:pPr>
            <w:r>
              <w:t xml:space="preserve">1.056</w:t>
            </w:r>
          </w:p>
        </w:tc>
        <w:tc>
          <w:tcPr/>
          <w:p>
            <w:pPr>
              <w:pStyle w:val="Compact"/>
              <w:jc w:val="right"/>
            </w:pPr>
            <w:r>
              <w:t xml:space="preserve">1.324</w:t>
            </w:r>
          </w:p>
        </w:tc>
        <w:tc>
          <w:tcPr/>
          <w:p>
            <w:pPr>
              <w:pStyle w:val="Compact"/>
              <w:jc w:val="right"/>
            </w:pPr>
            <w:r>
              <w:t xml:space="preserve">1.063</w:t>
            </w:r>
          </w:p>
        </w:tc>
        <w:tc>
          <w:tcPr/>
          <w:p>
            <w:pPr>
              <w:pStyle w:val="Compact"/>
              <w:jc w:val="right"/>
            </w:pPr>
            <w:r>
              <w:t xml:space="preserve">1.077</w:t>
            </w:r>
          </w:p>
        </w:tc>
      </w:tr>
      <w:tr>
        <w:tc>
          <w:tcPr/>
          <w:p>
            <w:pPr>
              <w:pStyle w:val="Compact"/>
              <w:jc w:val="left"/>
            </w:pPr>
            <w:r>
              <w:t xml:space="preserve">Obesity</w:t>
            </w:r>
          </w:p>
        </w:tc>
        <w:tc>
          <w:tcPr/>
          <w:p>
            <w:pPr>
              <w:pStyle w:val="Compact"/>
              <w:jc w:val="right"/>
            </w:pPr>
            <w:r>
              <w:t xml:space="preserve">1.022</w:t>
            </w:r>
          </w:p>
        </w:tc>
        <w:tc>
          <w:tcPr/>
          <w:p>
            <w:pPr>
              <w:pStyle w:val="Compact"/>
              <w:jc w:val="right"/>
            </w:pPr>
            <w:r>
              <w:t xml:space="preserve">1.280</w:t>
            </w:r>
          </w:p>
        </w:tc>
        <w:tc>
          <w:tcPr/>
          <w:p>
            <w:pPr>
              <w:pStyle w:val="Compact"/>
              <w:jc w:val="right"/>
            </w:pPr>
            <w:r>
              <w:t xml:space="preserve">1.071</w:t>
            </w:r>
          </w:p>
        </w:tc>
        <w:tc>
          <w:tcPr/>
          <w:p>
            <w:pPr>
              <w:pStyle w:val="Compact"/>
              <w:jc w:val="right"/>
            </w:pPr>
            <w:r>
              <w:t xml:space="preserve">1.063</w:t>
            </w:r>
          </w:p>
        </w:tc>
      </w:tr>
      <w:tr>
        <w:tc>
          <w:tcPr/>
          <w:p>
            <w:pPr>
              <w:pStyle w:val="Compact"/>
              <w:jc w:val="left"/>
            </w:pPr>
            <w:r>
              <w:t xml:space="preserve">Type 2 diabetes</w:t>
            </w:r>
          </w:p>
        </w:tc>
        <w:tc>
          <w:tcPr/>
          <w:p>
            <w:pPr>
              <w:pStyle w:val="Compact"/>
              <w:jc w:val="right"/>
            </w:pPr>
            <w:r>
              <w:t xml:space="preserve">0.978</w:t>
            </w:r>
          </w:p>
        </w:tc>
        <w:tc>
          <w:tcPr/>
          <w:p>
            <w:pPr>
              <w:pStyle w:val="Compact"/>
              <w:jc w:val="right"/>
            </w:pPr>
            <w:r>
              <w:t xml:space="preserve">1.299</w:t>
            </w:r>
          </w:p>
        </w:tc>
        <w:tc>
          <w:tcPr/>
          <w:p>
            <w:pPr>
              <w:pStyle w:val="Compact"/>
              <w:jc w:val="right"/>
            </w:pPr>
            <w:r>
              <w:t xml:space="preserve">1.039</w:t>
            </w:r>
          </w:p>
        </w:tc>
        <w:tc>
          <w:tcPr/>
          <w:p>
            <w:pPr>
              <w:pStyle w:val="Compact"/>
              <w:jc w:val="right"/>
            </w:pPr>
            <w:r>
              <w:t xml:space="preserve">1.031</w:t>
            </w:r>
          </w:p>
        </w:tc>
      </w:tr>
      <w:tr>
        <w:tc>
          <w:tcPr/>
          <w:p>
            <w:pPr>
              <w:pStyle w:val="Compact"/>
              <w:jc w:val="left"/>
            </w:pPr>
            <w:r>
              <w:t xml:space="preserve">Dyslipidemia</w:t>
            </w:r>
          </w:p>
        </w:tc>
        <w:tc>
          <w:tcPr/>
          <w:p>
            <w:pPr>
              <w:pStyle w:val="Compact"/>
              <w:jc w:val="right"/>
            </w:pPr>
            <w:r>
              <w:t xml:space="preserve">1.035</w:t>
            </w:r>
          </w:p>
        </w:tc>
        <w:tc>
          <w:tcPr/>
          <w:p>
            <w:pPr>
              <w:pStyle w:val="Compact"/>
              <w:jc w:val="right"/>
            </w:pPr>
            <w:r>
              <w:t xml:space="preserve">1.037</w:t>
            </w:r>
          </w:p>
        </w:tc>
        <w:tc>
          <w:tcPr/>
          <w:p>
            <w:pPr>
              <w:pStyle w:val="Compact"/>
              <w:jc w:val="right"/>
            </w:pPr>
            <w:r>
              <w:t xml:space="preserve">1.040</w:t>
            </w:r>
          </w:p>
        </w:tc>
        <w:tc>
          <w:tcPr/>
          <w:p>
            <w:pPr>
              <w:pStyle w:val="Compact"/>
              <w:jc w:val="right"/>
            </w:pPr>
            <w:r>
              <w:t xml:space="preserve">1.046</w:t>
            </w:r>
          </w:p>
        </w:tc>
      </w:tr>
      <w:tr>
        <w:tc>
          <w:tcPr/>
          <w:p>
            <w:pPr>
              <w:pStyle w:val="Compact"/>
              <w:jc w:val="left"/>
            </w:pPr>
            <w:r>
              <w:t xml:space="preserve">Avascular necrosis</w:t>
            </w:r>
          </w:p>
        </w:tc>
        <w:tc>
          <w:tcPr/>
          <w:p>
            <w:pPr>
              <w:pStyle w:val="Compact"/>
              <w:jc w:val="right"/>
            </w:pPr>
            <w:r>
              <w:t xml:space="preserve">1.077</w:t>
            </w:r>
          </w:p>
        </w:tc>
        <w:tc>
          <w:tcPr/>
          <w:p>
            <w:pPr>
              <w:pStyle w:val="Compact"/>
              <w:jc w:val="right"/>
            </w:pPr>
            <w:r>
              <w:t xml:space="preserve">1.462</w:t>
            </w:r>
          </w:p>
        </w:tc>
        <w:tc>
          <w:tcPr/>
          <w:p>
            <w:pPr>
              <w:pStyle w:val="Compact"/>
              <w:jc w:val="right"/>
            </w:pPr>
            <w:r>
              <w:t xml:space="preserve">1.013</w:t>
            </w:r>
          </w:p>
        </w:tc>
        <w:tc>
          <w:tcPr/>
          <w:p>
            <w:pPr>
              <w:pStyle w:val="Compact"/>
              <w:jc w:val="right"/>
            </w:pPr>
            <w:r>
              <w:t xml:space="preserve">1.292</w:t>
            </w:r>
          </w:p>
        </w:tc>
      </w:tr>
      <w:tr>
        <w:tc>
          <w:tcPr/>
          <w:p>
            <w:pPr>
              <w:pStyle w:val="Compact"/>
              <w:jc w:val="left"/>
            </w:pPr>
            <w:r>
              <w:t xml:space="preserve">Gastrointestinal ulcers/bleeds</w:t>
            </w:r>
          </w:p>
        </w:tc>
        <w:tc>
          <w:tcPr/>
          <w:p>
            <w:pPr>
              <w:pStyle w:val="Compact"/>
              <w:jc w:val="right"/>
            </w:pPr>
            <w:r>
              <w:t xml:space="preserve">1.070</w:t>
            </w:r>
          </w:p>
        </w:tc>
        <w:tc>
          <w:tcPr/>
          <w:p>
            <w:pPr>
              <w:pStyle w:val="Compact"/>
              <w:jc w:val="right"/>
            </w:pPr>
            <w:r>
              <w:t xml:space="preserve">1.330</w:t>
            </w:r>
          </w:p>
        </w:tc>
        <w:tc>
          <w:tcPr/>
          <w:p>
            <w:pPr>
              <w:pStyle w:val="Compact"/>
              <w:jc w:val="right"/>
            </w:pPr>
            <w:r>
              <w:t xml:space="preserve">1.035</w:t>
            </w:r>
          </w:p>
        </w:tc>
        <w:tc>
          <w:tcPr/>
          <w:p>
            <w:pPr>
              <w:pStyle w:val="Compact"/>
              <w:jc w:val="right"/>
            </w:pPr>
            <w:r>
              <w:t xml:space="preserve">0.966</w:t>
            </w:r>
          </w:p>
        </w:tc>
      </w:tr>
      <w:tr>
        <w:tc>
          <w:tcPr/>
          <w:p>
            <w:pPr>
              <w:pStyle w:val="Compact"/>
              <w:jc w:val="left"/>
            </w:pPr>
            <w:r>
              <w:t xml:space="preserve">Tuberculosis</w:t>
            </w:r>
          </w:p>
        </w:tc>
        <w:tc>
          <w:tcPr/>
          <w:p>
            <w:pPr>
              <w:pStyle w:val="Compact"/>
              <w:jc w:val="right"/>
            </w:pPr>
            <w:r>
              <w:t xml:space="preserve">0.915</w:t>
            </w:r>
          </w:p>
        </w:tc>
        <w:tc>
          <w:tcPr/>
          <w:p>
            <w:pPr>
              <w:pStyle w:val="Compact"/>
              <w:jc w:val="right"/>
            </w:pPr>
            <w:r>
              <w:t xml:space="preserve">1.151</w:t>
            </w:r>
          </w:p>
        </w:tc>
        <w:tc>
          <w:tcPr/>
          <w:p>
            <w:pPr>
              <w:pStyle w:val="Compact"/>
              <w:jc w:val="right"/>
            </w:pPr>
            <w:r>
              <w:t xml:space="preserve">1.030</w:t>
            </w:r>
          </w:p>
        </w:tc>
        <w:tc>
          <w:tcPr/>
          <w:p>
            <w:pPr>
              <w:pStyle w:val="Compact"/>
              <w:jc w:val="right"/>
            </w:pPr>
            <w:r>
              <w:t xml:space="preserve">1.126</w:t>
            </w:r>
          </w:p>
        </w:tc>
      </w:tr>
      <w:tr>
        <w:tc>
          <w:tcPr/>
          <w:p>
            <w:pPr>
              <w:pStyle w:val="Compact"/>
              <w:jc w:val="left"/>
            </w:pPr>
            <w:r>
              <w:t xml:space="preserve">Cataracts</w:t>
            </w:r>
          </w:p>
        </w:tc>
        <w:tc>
          <w:tcPr/>
          <w:p>
            <w:pPr>
              <w:pStyle w:val="Compact"/>
              <w:jc w:val="right"/>
            </w:pPr>
            <w:r>
              <w:t xml:space="preserve">0.943</w:t>
            </w:r>
          </w:p>
        </w:tc>
        <w:tc>
          <w:tcPr/>
          <w:p>
            <w:pPr>
              <w:pStyle w:val="Compact"/>
              <w:jc w:val="right"/>
            </w:pPr>
            <w:r>
              <w:t xml:space="preserve">1.256</w:t>
            </w:r>
          </w:p>
        </w:tc>
        <w:tc>
          <w:tcPr/>
          <w:p>
            <w:pPr>
              <w:pStyle w:val="Compact"/>
              <w:jc w:val="right"/>
            </w:pPr>
            <w:r>
              <w:t xml:space="preserve">1.061</w:t>
            </w:r>
          </w:p>
        </w:tc>
        <w:tc>
          <w:tcPr/>
          <w:p>
            <w:pPr>
              <w:pStyle w:val="Compact"/>
              <w:jc w:val="right"/>
            </w:pPr>
            <w:r>
              <w:t xml:space="preserve">1.026</w:t>
            </w:r>
          </w:p>
        </w:tc>
      </w:tr>
      <w:tr>
        <w:tc>
          <w:tcPr/>
          <w:p>
            <w:pPr>
              <w:pStyle w:val="Compact"/>
              <w:jc w:val="left"/>
            </w:pPr>
            <w:r>
              <w:t xml:space="preserve">Glaucoma</w:t>
            </w:r>
          </w:p>
        </w:tc>
        <w:tc>
          <w:tcPr/>
          <w:p>
            <w:pPr>
              <w:pStyle w:val="Compact"/>
              <w:jc w:val="right"/>
            </w:pPr>
            <w:r>
              <w:t xml:space="preserve">0.921</w:t>
            </w:r>
          </w:p>
        </w:tc>
        <w:tc>
          <w:tcPr/>
          <w:p>
            <w:pPr>
              <w:pStyle w:val="Compact"/>
              <w:jc w:val="right"/>
            </w:pPr>
            <w:r>
              <w:t xml:space="preserve">1.040</w:t>
            </w:r>
          </w:p>
        </w:tc>
        <w:tc>
          <w:tcPr/>
          <w:p>
            <w:pPr>
              <w:pStyle w:val="Compact"/>
              <w:jc w:val="right"/>
            </w:pPr>
            <w:r>
              <w:t xml:space="preserve">1.009</w:t>
            </w:r>
          </w:p>
        </w:tc>
        <w:tc>
          <w:tcPr/>
          <w:p>
            <w:pPr>
              <w:pStyle w:val="Compact"/>
              <w:jc w:val="right"/>
            </w:pPr>
            <w:r>
              <w:t xml:space="preserve">0.959</w:t>
            </w:r>
          </w:p>
        </w:tc>
      </w:tr>
    </w:tbl>
    <w:bookmarkStart w:id="26" w:name="X2b9949faa1aa766a96217efae9cd42cbff061b2"/>
    <w:p>
      <w:pPr>
        <w:pStyle w:val="Heading3"/>
      </w:pPr>
      <w:r>
        <w:t xml:space="preserve">Note: Some point estimates are &lt;1, for example, for metabolic syndrom. It is suggested that such outcomes be removed from the analysis.</w:t>
      </w:r>
    </w:p>
    <w:bookmarkEnd w:id="26"/>
    <w:bookmarkStart w:id="27" w:name="Xfb036262887e8c4f08c2052e0cb293bbb14f701"/>
    <w:p>
      <w:pPr>
        <w:pStyle w:val="Heading3"/>
      </w:pPr>
      <w:r>
        <w:t xml:space="preserve">Question: Should this web app also communicate uncertainty? One challenge with reporting uncertainty is that we do not have access to the covariance matrix of the regression coefficients and therefore the uncertainty around predicted relative risk will be at best a rough approximate.</w:t>
      </w:r>
    </w:p>
    <w:p>
      <w:pPr>
        <w:pStyle w:val="FirstParagraph"/>
      </w:pPr>
      <w:r>
        <w:t xml:space="preserve">As the scale of interest for risk equations is the relative risk, we will use the above risk ratios (potentially with a measure of uncertainty such as 95%)</w:t>
      </w:r>
    </w:p>
    <w:bookmarkEnd w:id="27"/>
    <w:bookmarkEnd w:id="28"/>
    <w:bookmarkStart w:id="32" w:name="web-app"/>
    <w:p>
      <w:pPr>
        <w:pStyle w:val="Heading2"/>
      </w:pPr>
      <w:r>
        <w:t xml:space="preserve">Web app</w:t>
      </w:r>
    </w:p>
    <w:p>
      <w:pPr>
        <w:pStyle w:val="FirstParagraph"/>
      </w:pPr>
      <w:r>
        <w:t xml:space="preserve">An interactive web app will be developed and made publicly available. A proposed snapshot of the app is provided below.</w:t>
      </w:r>
    </w:p>
    <w:p>
      <w:pPr>
        <w:pStyle w:val="BodyText"/>
      </w:pPr>
      <w:r>
        <w:drawing>
          <wp:inline>
            <wp:extent cx="5334000" cy="2577943"/>
            <wp:effectExtent b="0" l="0" r="0" t="0"/>
            <wp:docPr descr="" title="" id="30" name="Picture"/>
            <a:graphic>
              <a:graphicData uri="http://schemas.openxmlformats.org/drawingml/2006/picture">
                <pic:pic>
                  <pic:nvPicPr>
                    <pic:cNvPr descr="AppExample2.png" id="31" name="Picture"/>
                    <pic:cNvPicPr>
                      <a:picLocks noChangeArrowheads="1" noChangeAspect="1"/>
                    </pic:cNvPicPr>
                  </pic:nvPicPr>
                  <pic:blipFill>
                    <a:blip r:embed="rId29"/>
                    <a:stretch>
                      <a:fillRect/>
                    </a:stretch>
                  </pic:blipFill>
                  <pic:spPr bwMode="auto">
                    <a:xfrm>
                      <a:off x="0" y="0"/>
                      <a:ext cx="5334000" cy="2577943"/>
                    </a:xfrm>
                    <a:prstGeom prst="rect">
                      <a:avLst/>
                    </a:prstGeom>
                    <a:noFill/>
                    <a:ln w="9525">
                      <a:noFill/>
                      <a:headEnd/>
                      <a:tailEnd/>
                    </a:ln>
                  </pic:spPr>
                </pic:pic>
              </a:graphicData>
            </a:graphic>
          </wp:inline>
        </w:drawing>
      </w:r>
    </w:p>
    <w:bookmarkEnd w:id="32"/>
    <w:bookmarkStart w:id="33" w:name="end-of-document"/>
    <w:p>
      <w:pPr>
        <w:pStyle w:val="Heading1"/>
      </w:pPr>
      <w:r>
        <w:t xml:space="preserve">End of document</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dx.doi.org/10.1016/j.jaci.2017.04.009" TargetMode="External" /><Relationship Type="http://schemas.openxmlformats.org/officeDocument/2006/relationships/hyperlink" Id="rId22" Target="https://doi.org/10.1080/02770903.2018.1539100" TargetMode="External" /></Relationships>
</file>

<file path=word/_rels/footnotes.xml.rels><?xml version="1.0" encoding="UTF-8"?><Relationships xmlns="http://schemas.openxmlformats.org/package/2006/relationships"><Relationship Type="http://schemas.openxmlformats.org/officeDocument/2006/relationships/hyperlink" Id="rId20" Target="http://dx.doi.org/10.1016/j.jaci.2017.04.009" TargetMode="External" /><Relationship Type="http://schemas.openxmlformats.org/officeDocument/2006/relationships/hyperlink" Id="rId22" Target="https://doi.org/10.1080/02770903.2018.15391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OCS risk calculator</dc:title>
  <dc:creator>Mohsen Sadatsafavi (NAPTIA Consultation)</dc:creator>
  <cp:keywords/>
  <dcterms:created xsi:type="dcterms:W3CDTF">2023-06-22T06:56:19Z</dcterms:created>
  <dcterms:modified xsi:type="dcterms:W3CDTF">2023-06-22T06:56:19Z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
  </property>
</Properties>
</file>