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7365D"/>
          <w:sz w:val="52"/>
        </w:rPr>
        <w:t>EVENT LEDGER SYSTEM</w:t>
      </w:r>
    </w:p>
    <w:p>
      <w:pPr>
        <w:jc w:val="center"/>
      </w:pPr>
      <w:r>
        <w:rPr>
          <w:sz w:val="34"/>
        </w:rPr>
        <w:t>Condensed Software Requirements Specification</w:t>
      </w:r>
    </w:p>
    <w:p>
      <w:pPr>
        <w:spacing w:before="360"/>
        <w:jc w:val="center"/>
      </w:pPr>
      <w:r>
        <w:rPr>
          <w:b/>
        </w:rPr>
        <w:t>Version 1.1 | Implementation-ready</w:t>
      </w:r>
    </w:p>
    <w:p>
      <w:pPr>
        <w:jc w:val="center"/>
      </w:pPr>
      <w:r>
        <w:t>Two independently runnable microservices for reliable financial event processing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The Event Ledger receives financial transaction events from upstream systems and maintains accurate event records, account balances, and transaction histories. The system must tolerate duplicate delivery, out-of-order arrival, and temporary downstream-service failure.</w:t>
      </w:r>
    </w:p>
    <w:p>
      <w:pPr>
        <w:pStyle w:val="Heading2"/>
      </w:pPr>
      <w:r>
        <w:t>1.1 Objectives</w:t>
      </w:r>
    </w:p>
    <w:p>
      <w:pPr>
        <w:pStyle w:val="ListBullet"/>
        <w:spacing w:after="20"/>
      </w:pPr>
      <w:r>
        <w:t>Process CREDIT and DEBIT events correctly and idempotently.</w:t>
      </w:r>
    </w:p>
    <w:p>
      <w:pPr>
        <w:pStyle w:val="ListBullet"/>
        <w:spacing w:after="20"/>
      </w:pPr>
      <w:r>
        <w:t>Keep public event queries available even when the Account Service is unavailable.</w:t>
      </w:r>
    </w:p>
    <w:p>
      <w:pPr>
        <w:pStyle w:val="ListBullet"/>
        <w:spacing w:after="20"/>
      </w:pPr>
      <w:r>
        <w:t>Demonstrate clear service boundaries, trace propagation, structured logging, metrics, health checks, resiliency, automated tests, and Docker-based execution.</w:t>
      </w:r>
    </w:p>
    <w:p>
      <w:pPr>
        <w:pStyle w:val="Heading2"/>
      </w:pPr>
      <w:r>
        <w:t>1.2 In Scope</w:t>
      </w:r>
    </w:p>
    <w:p>
      <w:pPr>
        <w:pStyle w:val="ListBullet"/>
        <w:spacing w:after="20"/>
      </w:pPr>
      <w:r>
        <w:t>Event submission, validation, storage, retrieval, chronological listing, account balance and account details.</w:t>
      </w:r>
    </w:p>
    <w:p>
      <w:pPr>
        <w:pStyle w:val="ListBullet"/>
        <w:spacing w:after="20"/>
      </w:pPr>
      <w:r>
        <w:t>Separate embedded databases for each service.</w:t>
      </w:r>
    </w:p>
    <w:p>
      <w:pPr>
        <w:pStyle w:val="ListBullet"/>
        <w:spacing w:after="20"/>
      </w:pPr>
      <w:r>
        <w:t>Synchronous REST communication from Gateway to Account Service.</w:t>
      </w:r>
    </w:p>
    <w:p>
      <w:pPr>
        <w:pStyle w:val="ListBullet"/>
        <w:spacing w:after="20"/>
      </w:pPr>
      <w:r>
        <w:t>Timeout, bounded retry, circuit breaker, JSON logs, trace IDs, health endpoints, metrics, Docker Compose, and tests.</w:t>
      </w:r>
    </w:p>
    <w:p>
      <w:pPr>
        <w:pStyle w:val="Heading2"/>
      </w:pPr>
      <w:r>
        <w:t>1.3 Out of Scope</w:t>
      </w:r>
    </w:p>
    <w:p>
      <w:pPr>
        <w:pStyle w:val="ListBullet"/>
        <w:spacing w:after="20"/>
      </w:pPr>
      <w:r>
        <w:t>Authentication/authorization, currency conversion, overdraft rules, event modification/deletion, production secrets management, external message brokers, multi-region deployment, and user interface.</w:t>
      </w:r>
    </w:p>
    <w:p>
      <w:pPr>
        <w:pStyle w:val="Heading1"/>
      </w:pPr>
      <w:r>
        <w:t>2. Architecture and Service Boundaries</w:t>
      </w:r>
    </w:p>
    <w:p>
      <w:pPr>
        <w:pStyle w:val="CodeBlock"/>
      </w:pPr>
      <w:r>
        <w:rPr>
          <w:rFonts w:ascii="Consolas" w:hAnsi="Consolas"/>
          <w:sz w:val="17"/>
        </w:rPr>
        <w:t>Client</w:t>
        <w:br/>
      </w:r>
      <w:r>
        <w:rPr>
          <w:rFonts w:ascii="Consolas" w:hAnsi="Consolas"/>
          <w:sz w:val="17"/>
        </w:rPr>
        <w:t xml:space="preserve">  | HTTP/REST</w:t>
        <w:br/>
      </w:r>
      <w:r>
        <w:rPr>
          <w:rFonts w:ascii="Consolas" w:hAnsi="Consolas"/>
          <w:sz w:val="17"/>
        </w:rPr>
        <w:t xml:space="preserve">  v</w:t>
        <w:br/>
      </w:r>
      <w:r>
        <w:rPr>
          <w:rFonts w:ascii="Consolas" w:hAnsi="Consolas"/>
          <w:sz w:val="17"/>
        </w:rPr>
        <w:t>Event Gateway API  ---- synchronous REST ----&gt;  Account Service</w:t>
        <w:br/>
      </w:r>
      <w:r>
        <w:rPr>
          <w:rFonts w:ascii="Consolas" w:hAnsi="Consolas"/>
          <w:sz w:val="17"/>
        </w:rPr>
        <w:t xml:space="preserve">  | own SQLite DB                               | own SQLite DB</w:t>
        <w:br/>
      </w:r>
    </w:p>
    <w:p>
      <w:pPr>
        <w:pStyle w:val="ListBullet"/>
        <w:spacing w:after="20"/>
      </w:pPr>
      <w:r>
        <w:t>Event Gateway: public entry point; validates input, enforces idempotency, persists events, propagates traces, and invokes Account Service.</w:t>
      </w:r>
    </w:p>
    <w:p>
      <w:pPr>
        <w:pStyle w:val="ListBullet"/>
        <w:spacing w:after="20"/>
      </w:pPr>
      <w:r>
        <w:t>Account Service: internal service; owns account state, balances, and account transaction history.</w:t>
      </w:r>
    </w:p>
    <w:p>
      <w:pPr>
        <w:pStyle w:val="ListBullet"/>
        <w:spacing w:after="20"/>
      </w:pPr>
      <w:r>
        <w:t>Services run as separate processes/containers and do not share a database or in-process state.</w:t>
      </w:r>
    </w:p>
    <w:p>
      <w:pPr>
        <w:pStyle w:val="ListBullet"/>
        <w:spacing w:after="20"/>
      </w:pPr>
      <w:r>
        <w:t>Communication occurs only through documented REST APIs.</w:t>
      </w:r>
    </w:p>
    <w:p>
      <w:pPr>
        <w:pStyle w:val="Heading2"/>
      </w:pPr>
      <w:r>
        <w:t>2.1 Recommended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Area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Recommended Choice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Language/Framework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Python 3.12+, FastAPI, Pydantic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Persistence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SQLAlchemy + separate SQLite databases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HTTP Client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HTTPX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Resiliency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Timeout + bounded retry + circuit breaker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Observability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JSON logging, trace header, Prometheus metrics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Testing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Pytest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Runtime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Docker and Docker Compose</w:t>
            </w:r>
          </w:p>
        </w:tc>
      </w:tr>
    </w:tbl>
    <w:p>
      <w:pPr>
        <w:pStyle w:val="Heading1"/>
      </w:pPr>
      <w:r>
        <w:t>3. Domain Model and Assumptions</w:t>
      </w:r>
    </w:p>
    <w:p>
      <w:pPr>
        <w:pStyle w:val="Heading2"/>
      </w:pPr>
      <w:r>
        <w:t>3.1 Event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Field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Type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Rules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eventId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Required; globally unique and immutable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accountId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Required; nonblank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type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Enum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CREDIT or DEBIT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amount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Decimal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Required; &gt; 0; never binary float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currency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Required; 3 uppercase letters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eventTimestamp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ISO 8601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Required; timezone included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metadata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Object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Optional JSON object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processingStatus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Enum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PENDING, APPLIED, or FAILED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createdAt / updatedAt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System generated</w:t>
            </w:r>
          </w:p>
        </w:tc>
      </w:tr>
    </w:tbl>
    <w:p>
      <w:pPr>
        <w:pStyle w:val="Heading2"/>
      </w:pPr>
      <w:r>
        <w:t>3.2 Account and Transaction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Entity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Required Fields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Account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accountId, currency, balance, createdAt, updatedAt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Account Transaction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eventId, accountId, type, amount, currency, eventTimestamp, appliedAt</w:t>
            </w:r>
          </w:p>
        </w:tc>
      </w:tr>
    </w:tbl>
    <w:p>
      <w:pPr>
        <w:pStyle w:val="Heading2"/>
      </w:pPr>
      <w:r>
        <w:t>3.3 Implementation Assumptions</w:t>
      </w:r>
    </w:p>
    <w:p>
      <w:pPr>
        <w:pStyle w:val="ListNumber"/>
        <w:spacing w:after="20"/>
      </w:pPr>
      <w:r>
        <w:t>Accounts are created automatically when their first valid transaction is applied.</w:t>
      </w:r>
    </w:p>
    <w:p>
      <w:pPr>
        <w:pStyle w:val="ListNumber"/>
        <w:spacing w:after="20"/>
      </w:pPr>
      <w:r>
        <w:t>Each account uses one currency, established by its first transaction; later currency mismatches return 409 Conflict.</w:t>
      </w:r>
    </w:p>
    <w:p>
      <w:pPr>
        <w:pStyle w:val="ListNumber"/>
        <w:spacing w:after="20"/>
      </w:pPr>
      <w:r>
        <w:t>Negative balances are permitted because no overdraft rule is specified.</w:t>
      </w:r>
    </w:p>
    <w:p>
      <w:pPr>
        <w:pStyle w:val="ListNumber"/>
        <w:spacing w:after="20"/>
      </w:pPr>
      <w:r>
        <w:t>Events are immutable after acceptance, and eventId is globally unique.</w:t>
      </w:r>
    </w:p>
    <w:p>
      <w:pPr>
        <w:pStyle w:val="ListNumber"/>
        <w:spacing w:after="20"/>
      </w:pPr>
      <w:r>
        <w:t>Identical duplicate submissions return 200 OK with the original record; conflicting reuse of eventId returns 409 Conflict.</w:t>
      </w:r>
    </w:p>
    <w:p>
      <w:pPr>
        <w:pStyle w:val="ListNumber"/>
        <w:spacing w:after="20"/>
      </w:pPr>
      <w:r>
        <w:t>The Gateway persists a valid new event as PENDING before calling Account Service. It changes to APPLIED on success and FAILED after exhausted attempts.</w:t>
      </w:r>
    </w:p>
    <w:p>
      <w:pPr>
        <w:pStyle w:val="ListNumber"/>
        <w:spacing w:after="20"/>
      </w:pPr>
      <w:r>
        <w:t>Resubmitting an identical PENDING or FAILED event may trigger another downstream attempt without creating a new Gateway record.</w:t>
      </w:r>
    </w:p>
    <w:p>
      <w:pPr>
        <w:pStyle w:val="ListNumber"/>
        <w:spacing w:after="20"/>
      </w:pPr>
      <w:r>
        <w:t>Account Service independently enforces idempotency because a timeout may occur after the transaction was applied.</w:t>
      </w:r>
    </w:p>
    <w:p>
      <w:pPr>
        <w:pStyle w:val="ListNumber"/>
        <w:spacing w:after="20"/>
      </w:pPr>
      <w:r>
        <w:t>The Gateway exposes account balance as a proxy endpoint so external clients do not call the internal Account Service directly.</w:t>
      </w:r>
    </w:p>
    <w:p>
      <w:pPr>
        <w:pStyle w:val="ListNumber"/>
        <w:spacing w:after="20"/>
      </w:pPr>
      <w:r>
        <w:t>Event and transaction listings use pagination; defaults are limit=50 for events and 20 recent transactions for account details.</w:t>
      </w:r>
    </w:p>
    <w:p>
      <w:pPr>
        <w:pStyle w:val="ListNumber"/>
        <w:spacing w:after="20"/>
      </w:pPr>
      <w:r>
        <w:t>Metadata differences alone do not change the financial effect, but reuse of an eventId with different immutable financial fields is a conflict.</w:t>
      </w:r>
    </w:p>
    <w:p>
      <w:pPr>
        <w:pStyle w:val="ListNumber"/>
        <w:spacing w:after="20"/>
      </w:pPr>
      <w:r>
        <w:t>Monetary values are stored as Decimal with two fractional digits for this USD-focused exercise.</w:t>
      </w:r>
    </w:p>
    <w:p>
      <w:pPr>
        <w:pStyle w:val="ListNumber"/>
        <w:spacing w:after="20"/>
      </w:pPr>
      <w:r>
        <w:t>Gateway health reports its own readiness independently and includes Account Service status only as dependency diagnostics.</w:t>
      </w:r>
    </w:p>
    <w:p>
      <w:pPr>
        <w:pStyle w:val="ListNumber"/>
        <w:spacing w:after="20"/>
      </w:pPr>
      <w:r>
        <w:t>No distributed transaction coordinator is used; consistency relies on local transactions and idempotent retry.</w:t>
      </w:r>
    </w:p>
    <w:p>
      <w:pPr>
        <w:pStyle w:val="Heading1"/>
      </w:pPr>
      <w:r>
        <w:t>4. API Requirements</w:t>
      </w:r>
    </w:p>
    <w:p>
      <w:pPr>
        <w:pStyle w:val="Heading2"/>
      </w:pPr>
      <w:r>
        <w:t>4.1 Event Gateway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Endpoint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Behavior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POST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/events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Validate, persist, call Account Service, and return event status.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/events/{eventId}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Return one event or 404; remains available during downstream failure.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/events?account={accountId}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Return account events ordered by eventTimestamp ASC, eventId ASC.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/accounts/{accountId}/balance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Proxy balance query; return 503 when Account Service is unreachable.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/health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Report Gateway/database status and dependency diagnostics.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/metrics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Expose application metrics.</w:t>
            </w:r>
          </w:p>
        </w:tc>
      </w:tr>
    </w:tbl>
    <w:p>
      <w:pPr>
        <w:pStyle w:val="Heading2"/>
      </w:pPr>
      <w:r>
        <w:t>4.2 Account Service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Endpoint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7"/>
              </w:rPr>
              <w:t>Behavior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POST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/accounts/{accountId}/transactions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Apply transaction atomically and idempotently.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/accounts/{accountId}/balance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Return current balance or 404.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/accounts/{accountId}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Return account details and recent transactions.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/health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Report service and database status.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GET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/metrics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7"/>
              </w:rPr>
              <w:t>Expose application metrics.</w:t>
            </w:r>
          </w:p>
        </w:tc>
      </w:tr>
    </w:tbl>
    <w:p>
      <w:pPr>
        <w:pStyle w:val="Heading2"/>
      </w:pPr>
      <w:r>
        <w:t>4.3 Status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Scenario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New event/transaction successfully applied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201 Created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Identical duplicate replay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200 OK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Conflicting eventId reuse or currency mismatch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409 Conflict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Malformed JSON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400 Bad Request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Validation failure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422 Unprocessable Entity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Resource not found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404 Not Found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Account Service unavailable / circuit open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503 Service Unavailable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Healthy service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200 OK</w:t>
            </w:r>
          </w:p>
        </w:tc>
      </w:tr>
    </w:tbl>
    <w:p>
      <w:pPr>
        <w:pStyle w:val="Heading1"/>
      </w:pPr>
      <w:r>
        <w:t>5. Functional Requirements</w:t>
      </w:r>
    </w:p>
    <w:p>
      <w:pPr>
        <w:pStyle w:val="Heading2"/>
      </w:pPr>
      <w:r>
        <w:t>5.1 Validation</w:t>
      </w:r>
    </w:p>
    <w:p>
      <w:pPr>
        <w:pStyle w:val="ListBullet"/>
        <w:spacing w:after="20"/>
      </w:pPr>
      <w:r>
        <w:t>Reject missing or blank eventId/accountId, unknown type, nonpositive amount, invalid decimal, invalid currency format, timestamp without timezone, or non-object metadata.</w:t>
      </w:r>
    </w:p>
    <w:p>
      <w:pPr>
        <w:pStyle w:val="ListBullet"/>
        <w:spacing w:after="20"/>
      </w:pPr>
      <w:r>
        <w:t>Validation errors include a stable code, human-readable message, traceId, and optional field details.</w:t>
      </w:r>
    </w:p>
    <w:p>
      <w:pPr>
        <w:pStyle w:val="Heading2"/>
      </w:pPr>
      <w:r>
        <w:t>5.2 Idempotency and Concurrency</w:t>
      </w:r>
    </w:p>
    <w:p>
      <w:pPr>
        <w:pStyle w:val="ListBullet"/>
        <w:spacing w:after="20"/>
      </w:pPr>
      <w:r>
        <w:t>Gateway and Account Service both enforce unique eventId constraints in their own databases.</w:t>
      </w:r>
    </w:p>
    <w:p>
      <w:pPr>
        <w:pStyle w:val="ListBullet"/>
        <w:spacing w:after="20"/>
      </w:pPr>
      <w:r>
        <w:t>Identical duplicates never create another record or alter balance again.</w:t>
      </w:r>
    </w:p>
    <w:p>
      <w:pPr>
        <w:pStyle w:val="ListBullet"/>
        <w:spacing w:after="20"/>
      </w:pPr>
      <w:r>
        <w:t>Conflicting immutable fields for the same eventId return 409.</w:t>
      </w:r>
    </w:p>
    <w:p>
      <w:pPr>
        <w:pStyle w:val="ListBullet"/>
        <w:spacing w:after="20"/>
      </w:pPr>
      <w:r>
        <w:t>Uniqueness constraints and database transactions provide final concurrency protection; in-memory checks alone are insufficient.</w:t>
      </w:r>
    </w:p>
    <w:p>
      <w:pPr>
        <w:pStyle w:val="Heading2"/>
      </w:pPr>
      <w:r>
        <w:t>5.3 Out-of-Order Processing and Balance</w:t>
      </w:r>
    </w:p>
    <w:p>
      <w:pPr>
        <w:pStyle w:val="ListBullet"/>
        <w:spacing w:after="20"/>
      </w:pPr>
      <w:r>
        <w:t>Valid events are accepted regardless of arrival order.</w:t>
      </w:r>
    </w:p>
    <w:p>
      <w:pPr>
        <w:pStyle w:val="ListBullet"/>
        <w:spacing w:after="20"/>
      </w:pPr>
      <w:r>
        <w:t>Balance equals total CREDIT minus total DEBIT and is independent of event arrival order.</w:t>
      </w:r>
    </w:p>
    <w:p>
      <w:pPr>
        <w:pStyle w:val="ListBullet"/>
        <w:spacing w:after="20"/>
      </w:pPr>
      <w:r>
        <w:t>Transaction insertion and stored-balance update occur in one Account Service database transaction.</w:t>
      </w:r>
    </w:p>
    <w:p>
      <w:pPr>
        <w:pStyle w:val="ListBullet"/>
        <w:spacing w:after="20"/>
      </w:pPr>
      <w:r>
        <w:t>Business time (eventTimestamp) and processing time (createdAt/appliedAt) are both retained.</w:t>
      </w:r>
    </w:p>
    <w:p>
      <w:pPr>
        <w:pStyle w:val="Heading2"/>
      </w:pPr>
      <w:r>
        <w:t>5.4 Failure and Recovery Behavior</w:t>
      </w:r>
    </w:p>
    <w:p>
      <w:pPr>
        <w:pStyle w:val="ListBullet"/>
        <w:spacing w:after="20"/>
      </w:pPr>
      <w:r>
        <w:t>When Account Service is unavailable, POST /events returns 503 after bounded attempts rather than hanging or returning an unhandled 500.</w:t>
      </w:r>
    </w:p>
    <w:p>
      <w:pPr>
        <w:pStyle w:val="ListBullet"/>
        <w:spacing w:after="20"/>
      </w:pPr>
      <w:r>
        <w:t>Gateway-local event reads, health, and metrics remain available.</w:t>
      </w:r>
    </w:p>
    <w:p>
      <w:pPr>
        <w:pStyle w:val="ListBullet"/>
        <w:spacing w:after="20"/>
      </w:pPr>
      <w:r>
        <w:t>A failed or ambiguous downstream operation can be safely retried because Account Service deduplicates by eventId.</w:t>
      </w:r>
    </w:p>
    <w:p>
      <w:pPr>
        <w:pStyle w:val="ListBullet"/>
        <w:spacing w:after="20"/>
      </w:pPr>
      <w:r>
        <w:t>Error responses identify downstream unavailability and include traceId plus retryable=true; Retry-After is recommended.</w:t>
      </w:r>
    </w:p>
    <w:p>
      <w:pPr>
        <w:pStyle w:val="Heading1"/>
      </w:pPr>
      <w:r>
        <w:t>6. Resiliency and Observability</w:t>
      </w:r>
    </w:p>
    <w:p>
      <w:pPr>
        <w:pStyle w:val="Heading2"/>
      </w:pPr>
      <w:r>
        <w:t>6.1 Resiliency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Control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Default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Total downstream timeout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2 seconds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Maximum attempts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3 including initial call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Retryable conditions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Connection error, timeout, 502, 503, 504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Backoff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Exponential with jitter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Circuit failure threshold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5 consecutive failures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Circuit recovery interval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30 seconds</w:t>
            </w:r>
          </w:p>
        </w:tc>
      </w:tr>
    </w:tbl>
    <w:p>
      <w:pPr>
        <w:pStyle w:val="ListBullet"/>
        <w:spacing w:after="20"/>
      </w:pPr>
      <w:r>
        <w:t>Do not retry ordinary 4xx validation or conflict responses.</w:t>
      </w:r>
    </w:p>
    <w:p>
      <w:pPr>
        <w:pStyle w:val="ListBullet"/>
        <w:spacing w:after="20"/>
      </w:pPr>
      <w:r>
        <w:t>Open circuit fails fast without calling Account Service; successful half-open probe closes it.</w:t>
      </w:r>
    </w:p>
    <w:p>
      <w:pPr>
        <w:pStyle w:val="ListBullet"/>
        <w:spacing w:after="20"/>
      </w:pPr>
      <w:r>
        <w:t>Circuit state changes are logged and exposed through metrics.</w:t>
      </w:r>
    </w:p>
    <w:p>
      <w:pPr>
        <w:pStyle w:val="Heading2"/>
      </w:pPr>
      <w:r>
        <w:t>6.2 Trace Propagation</w:t>
      </w:r>
    </w:p>
    <w:p>
      <w:pPr>
        <w:pStyle w:val="ListBullet"/>
        <w:spacing w:after="20"/>
      </w:pPr>
      <w:r>
        <w:t>Gateway generates a trace ID for each request unless a valid supported trace header is provided.</w:t>
      </w:r>
    </w:p>
    <w:p>
      <w:pPr>
        <w:pStyle w:val="ListBullet"/>
        <w:spacing w:after="20"/>
      </w:pPr>
      <w:r>
        <w:t>Gateway propagates X-Trace-ID and preferably W3C traceparent to Account Service.</w:t>
      </w:r>
    </w:p>
    <w:p>
      <w:pPr>
        <w:pStyle w:val="ListBullet"/>
        <w:spacing w:after="20"/>
      </w:pPr>
      <w:r>
        <w:t>Both services log the same trace ID, and responses/errors include X-Trace-ID.</w:t>
      </w:r>
    </w:p>
    <w:p>
      <w:pPr>
        <w:pStyle w:val="Heading2"/>
      </w:pPr>
      <w:r>
        <w:t>6.3 Structured Logging</w:t>
      </w:r>
    </w:p>
    <w:p>
      <w:pPr>
        <w:pStyle w:val="ListBullet"/>
        <w:spacing w:after="20"/>
      </w:pPr>
      <w:r>
        <w:t>JSON logs include timestamp, level, service, message, and traceId.</w:t>
      </w:r>
    </w:p>
    <w:p>
      <w:pPr>
        <w:pStyle w:val="ListBullet"/>
        <w:spacing w:after="20"/>
      </w:pPr>
      <w:r>
        <w:t>When relevant, include eventId, accountId, method, path, statusCode, durationMs, and exceptionType.</w:t>
      </w:r>
    </w:p>
    <w:p>
      <w:pPr>
        <w:pStyle w:val="ListBullet"/>
        <w:spacing w:after="20"/>
      </w:pPr>
      <w:r>
        <w:t>Do not log credentials, secrets, or unnecessary full payloads.</w:t>
      </w:r>
    </w:p>
    <w:p>
      <w:pPr>
        <w:pStyle w:val="Heading2"/>
      </w:pPr>
      <w:r>
        <w:t>6.4 Metrics and Health</w:t>
      </w:r>
    </w:p>
    <w:p>
      <w:pPr>
        <w:pStyle w:val="ListBullet"/>
        <w:spacing w:after="20"/>
      </w:pPr>
      <w:r>
        <w:t>Expose /metrics with at least request count, latency, event submissions, duplicates, downstream failures, and circuit state.</w:t>
      </w:r>
    </w:p>
    <w:p>
      <w:pPr>
        <w:pStyle w:val="ListBullet"/>
        <w:spacing w:after="20"/>
      </w:pPr>
      <w:r>
        <w:t>Do not use eventId, accountId, or traceId as metric labels.</w:t>
      </w:r>
    </w:p>
    <w:p>
      <w:pPr>
        <w:pStyle w:val="ListBullet"/>
        <w:spacing w:after="20"/>
      </w:pPr>
      <w:r>
        <w:t>/health verifies local database connectivity. A local database failure returns 503.</w:t>
      </w:r>
    </w:p>
    <w:p>
      <w:pPr>
        <w:pStyle w:val="ListBullet"/>
        <w:spacing w:after="20"/>
      </w:pPr>
      <w:r>
        <w:t>Gateway may remain UP while reporting Account Service dependency as DOWN.</w:t>
      </w:r>
    </w:p>
    <w:p>
      <w:pPr>
        <w:pStyle w:val="Heading1"/>
      </w:pPr>
      <w:r>
        <w:t>7. Persistence, Configuration, and Packaging</w:t>
      </w:r>
    </w:p>
    <w:p>
      <w:pPr>
        <w:pStyle w:val="Heading2"/>
      </w:pPr>
      <w:r>
        <w:t>7.1 Database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Service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Tables / Important Constraints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Gateway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events; primary key event_id; indexes on account_id and (account_id,event_timestamp,event_id)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Account Service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accounts and transactions; transaction event_id primary key; index on (account_id,event_timestamp,event_id)</w:t>
            </w:r>
          </w:p>
        </w:tc>
      </w:tr>
    </w:tbl>
    <w:p>
      <w:pPr>
        <w:pStyle w:val="ListBullet"/>
        <w:spacing w:after="20"/>
      </w:pPr>
      <w:r>
        <w:t>Use Decimal-compatible storage and ORM/parameterized queries.</w:t>
      </w:r>
    </w:p>
    <w:p>
      <w:pPr>
        <w:pStyle w:val="ListBullet"/>
        <w:spacing w:after="20"/>
      </w:pPr>
      <w:r>
        <w:t>Account creation, transaction insert, and balance update are atomic.</w:t>
      </w:r>
    </w:p>
    <w:p>
      <w:pPr>
        <w:pStyle w:val="ListBullet"/>
        <w:spacing w:after="20"/>
      </w:pPr>
      <w:r>
        <w:t>SQLite concurrency limitations and chosen transaction strategy are documented.</w:t>
      </w:r>
    </w:p>
    <w:p>
      <w:pPr>
        <w:pStyle w:val="Heading2"/>
      </w:pPr>
      <w:r>
        <w:t>7.2 Configuration</w:t>
      </w:r>
    </w:p>
    <w:p>
      <w:pPr>
        <w:pStyle w:val="CodeBlock"/>
      </w:pPr>
      <w:r>
        <w:rPr>
          <w:rFonts w:ascii="Consolas" w:hAnsi="Consolas"/>
          <w:sz w:val="17"/>
        </w:rPr>
        <w:t># Gateway</w:t>
        <w:br/>
      </w:r>
      <w:r>
        <w:rPr>
          <w:rFonts w:ascii="Consolas" w:hAnsi="Consolas"/>
          <w:sz w:val="17"/>
        </w:rPr>
        <w:t>DATABASE_URL=sqlite:///data/gateway.db</w:t>
        <w:br/>
      </w:r>
      <w:r>
        <w:rPr>
          <w:rFonts w:ascii="Consolas" w:hAnsi="Consolas"/>
          <w:sz w:val="17"/>
        </w:rPr>
        <w:t>ACCOUNT_SERVICE_URL=http://account-service:8081</w:t>
        <w:br/>
      </w:r>
      <w:r>
        <w:rPr>
          <w:rFonts w:ascii="Consolas" w:hAnsi="Consolas"/>
          <w:sz w:val="17"/>
        </w:rPr>
        <w:t>ACCOUNT_SERVICE_TIMEOUT_SECONDS=2</w:t>
        <w:br/>
      </w:r>
      <w:r>
        <w:rPr>
          <w:rFonts w:ascii="Consolas" w:hAnsi="Consolas"/>
          <w:sz w:val="17"/>
        </w:rPr>
        <w:t>ACCOUNT_SERVICE_MAX_ATTEMPTS=3</w:t>
        <w:br/>
      </w:r>
      <w:r>
        <w:rPr>
          <w:rFonts w:ascii="Consolas" w:hAnsi="Consolas"/>
          <w:sz w:val="17"/>
        </w:rPr>
        <w:t>CIRCUIT_BREAKER_FAILURE_THRESHOLD=5</w:t>
        <w:br/>
      </w:r>
      <w:r>
        <w:rPr>
          <w:rFonts w:ascii="Consolas" w:hAnsi="Consolas"/>
          <w:sz w:val="17"/>
        </w:rPr>
        <w:t>CIRCUIT_BREAKER_RECOVERY_SECONDS=30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# Account Service</w:t>
        <w:br/>
      </w:r>
      <w:r>
        <w:rPr>
          <w:rFonts w:ascii="Consolas" w:hAnsi="Consolas"/>
          <w:sz w:val="17"/>
        </w:rPr>
        <w:t>DATABASE_URL=sqlite:///data/account.db</w:t>
        <w:br/>
      </w:r>
      <w:r>
        <w:rPr>
          <w:rFonts w:ascii="Consolas" w:hAnsi="Consolas"/>
          <w:sz w:val="17"/>
        </w:rPr>
        <w:t>LOG_LEVEL=INFO</w:t>
        <w:br/>
      </w:r>
    </w:p>
    <w:p>
      <w:pPr>
        <w:pStyle w:val="Heading2"/>
      </w:pPr>
      <w:r>
        <w:t>7.3 Docker and Repository</w:t>
      </w:r>
    </w:p>
    <w:p>
      <w:pPr>
        <w:pStyle w:val="ListBullet"/>
        <w:spacing w:after="20"/>
      </w:pPr>
      <w:r>
        <w:t>Each service has its own Dockerfile and database volume.</w:t>
      </w:r>
    </w:p>
    <w:p>
      <w:pPr>
        <w:pStyle w:val="ListBullet"/>
        <w:spacing w:after="20"/>
      </w:pPr>
      <w:r>
        <w:t>docker-compose.yml starts both services; Gateway is externally exposed, Account Service is internal to the Compose network.</w:t>
      </w:r>
    </w:p>
    <w:p>
      <w:pPr>
        <w:pStyle w:val="ListBullet"/>
        <w:spacing w:after="20"/>
      </w:pPr>
      <w:r>
        <w:t>Startup logic must distinguish process startup from dependency readiness.</w:t>
      </w:r>
    </w:p>
    <w:p>
      <w:pPr>
        <w:pStyle w:val="ListBullet"/>
        <w:spacing w:after="20"/>
      </w:pPr>
      <w:r>
        <w:t>Public repository includes incremental commits rather than one squashed commit.</w:t>
      </w:r>
    </w:p>
    <w:p>
      <w:pPr>
        <w:pStyle w:val="Heading1"/>
      </w:pPr>
      <w:r>
        <w:t>8. Testing and Acceptance Criteria</w:t>
      </w:r>
    </w:p>
    <w:p>
      <w:pPr>
        <w:pStyle w:val="Heading2"/>
      </w:pPr>
      <w:r>
        <w:t>8.1 Required Automated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7"/>
              </w:rPr>
              <w:t>Minimum Coverage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Gateway core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Valid credit/debit, validation failures, retrieval, ordered listing, duplicate replay, conflicting duplicate, downstream failure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Account core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Account creation, credit/debit math, negative balance, duplicate replay, conflict, out-of-order processing, currency mismatch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Resiliency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Timeout, connection failure, bounded retry, non-retryable 4xx, circuit open/fail-fast/recovery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Tracing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Generated trace ID, propagation to Account Service, response header, shared log context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Integration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7"/>
              </w:rPr>
              <w:t>Full Gateway -&gt; Account Service flow and duplicate balance protection</w:t>
            </w:r>
          </w:p>
        </w:tc>
      </w:tr>
    </w:tbl>
    <w:p>
      <w:pPr>
        <w:pStyle w:val="Heading2"/>
      </w:pPr>
      <w:r>
        <w:t>8.2 Key Integration Scenarios</w:t>
      </w:r>
    </w:p>
    <w:p>
      <w:pPr>
        <w:pStyle w:val="ListNumber"/>
        <w:spacing w:after="20"/>
      </w:pPr>
      <w:r>
        <w:t>Submit a credit through Gateway; verify 201, retrieve event, verify balance, resubmit identical event, and confirm balance is unchanged.</w:t>
      </w:r>
    </w:p>
    <w:p>
      <w:pPr>
        <w:pStyle w:val="ListNumber"/>
        <w:spacing w:after="20"/>
      </w:pPr>
      <w:r>
        <w:t>Submit events with timestamps 12:00, 14:00, then 10:00; verify listing order is 10:00, 12:00, 14:00 and balance equals the mathematical sum.</w:t>
      </w:r>
    </w:p>
    <w:p>
      <w:pPr>
        <w:pStyle w:val="ListNumber"/>
        <w:spacing w:after="20"/>
      </w:pPr>
      <w:r>
        <w:t>Stop Account Service; verify POST /events returns 503 while Gateway event retrieval and listing remain available.</w:t>
      </w:r>
    </w:p>
    <w:p>
      <w:pPr>
        <w:pStyle w:val="Heading2"/>
      </w:pPr>
      <w:r>
        <w:t>8.3 Acceptance Criteria</w:t>
      </w:r>
    </w:p>
    <w:p>
      <w:pPr>
        <w:pStyle w:val="ListBullet"/>
        <w:spacing w:after="20"/>
      </w:pPr>
      <w:r>
        <w:t>Two independent services and databases start with docker compose up.</w:t>
      </w:r>
    </w:p>
    <w:p>
      <w:pPr>
        <w:pStyle w:val="ListBullet"/>
        <w:spacing w:after="20"/>
      </w:pPr>
      <w:r>
        <w:t>Credits and debits produce the correct net balance regardless of arrival order.</w:t>
      </w:r>
    </w:p>
    <w:p>
      <w:pPr>
        <w:pStyle w:val="ListBullet"/>
        <w:spacing w:after="20"/>
      </w:pPr>
      <w:r>
        <w:t>Duplicate delivery never changes balance more than once.</w:t>
      </w:r>
    </w:p>
    <w:p>
      <w:pPr>
        <w:pStyle w:val="ListBullet"/>
        <w:spacing w:after="20"/>
      </w:pPr>
      <w:r>
        <w:t>Conflicting duplicate payloads and invalid events return meaningful errors.</w:t>
      </w:r>
    </w:p>
    <w:p>
      <w:pPr>
        <w:pStyle w:val="ListBullet"/>
        <w:spacing w:after="20"/>
      </w:pPr>
      <w:r>
        <w:t>Trace IDs flow across services and appear in structured logs and responses.</w:t>
      </w:r>
    </w:p>
    <w:p>
      <w:pPr>
        <w:pStyle w:val="ListBullet"/>
        <w:spacing w:after="20"/>
      </w:pPr>
      <w:r>
        <w:t>Health endpoints, custom metrics, finite timeout, retry, circuit breaker, and graceful degradation work as documented.</w:t>
      </w:r>
    </w:p>
    <w:p>
      <w:pPr>
        <w:pStyle w:val="ListBullet"/>
        <w:spacing w:after="20"/>
      </w:pPr>
      <w:r>
        <w:t>One standard command runs all tests, and README instructions are complete and reproducible.</w:t>
      </w:r>
    </w:p>
    <w:p>
      <w:pPr>
        <w:pStyle w:val="Heading1"/>
      </w:pPr>
      <w:r>
        <w:t>9. Deliverables and README Content</w:t>
      </w:r>
    </w:p>
    <w:p>
      <w:pPr>
        <w:pStyle w:val="ListBullet"/>
        <w:spacing w:after="20"/>
      </w:pPr>
      <w:r>
        <w:t>Public Git repository with meaningful commit history.</w:t>
      </w:r>
    </w:p>
    <w:p>
      <w:pPr>
        <w:pStyle w:val="ListBullet"/>
        <w:spacing w:after="20"/>
      </w:pPr>
      <w:r>
        <w:t>Both service source trees, tests, Dockerfiles, docker-compose.yml, dependency files, .env.example, and .gitignore.</w:t>
      </w:r>
    </w:p>
    <w:p>
      <w:pPr>
        <w:pStyle w:val="ListBullet"/>
        <w:spacing w:after="20"/>
      </w:pPr>
      <w:r>
        <w:t>README covering architecture, setup, startup, tests, curl examples, health/metrics, idempotency, ordering, resiliency choice, assumptions, trade-offs, known limitations, and future improvements.</w:t>
      </w:r>
    </w:p>
    <w:p>
      <w:pPr>
        <w:pStyle w:val="ListBullet"/>
        <w:spacing w:after="20"/>
      </w:pPr>
      <w:r>
        <w:t>Optional enhancements such as OpenTelemetry Collector, Jaeger, Prometheus, rate limiting, contract tests, CI, or asynchronous recovery must not compromise required functionality.</w:t>
      </w:r>
    </w:p>
    <w:p>
      <w:pPr>
        <w:pStyle w:val="Heading2"/>
      </w:pPr>
      <w:r>
        <w:t>9.1 Suggested Repository Structure</w:t>
      </w:r>
    </w:p>
    <w:p>
      <w:pPr>
        <w:pStyle w:val="CodeBlock"/>
      </w:pPr>
      <w:r>
        <w:rPr>
          <w:rFonts w:ascii="Consolas" w:hAnsi="Consolas"/>
          <w:sz w:val="17"/>
        </w:rPr>
        <w:t>event-ledger/</w:t>
        <w:br/>
      </w:r>
      <w:r>
        <w:rPr>
          <w:rFonts w:ascii="Consolas" w:hAnsi="Consolas"/>
          <w:sz w:val="17"/>
        </w:rPr>
        <w:t>├── README.md</w:t>
        <w:br/>
      </w:r>
      <w:r>
        <w:rPr>
          <w:rFonts w:ascii="Consolas" w:hAnsi="Consolas"/>
          <w:sz w:val="17"/>
        </w:rPr>
        <w:t>├── docker-compose.yml</w:t>
        <w:br/>
      </w:r>
      <w:r>
        <w:rPr>
          <w:rFonts w:ascii="Consolas" w:hAnsi="Consolas"/>
          <w:sz w:val="17"/>
        </w:rPr>
        <w:t>├── .env.example</w:t>
        <w:br/>
      </w:r>
      <w:r>
        <w:rPr>
          <w:rFonts w:ascii="Consolas" w:hAnsi="Consolas"/>
          <w:sz w:val="17"/>
        </w:rPr>
        <w:t>├── docs/</w:t>
        <w:br/>
      </w:r>
      <w:r>
        <w:rPr>
          <w:rFonts w:ascii="Consolas" w:hAnsi="Consolas"/>
          <w:sz w:val="17"/>
        </w:rPr>
        <w:t>│   └── requirements.md</w:t>
        <w:br/>
      </w:r>
      <w:r>
        <w:rPr>
          <w:rFonts w:ascii="Consolas" w:hAnsi="Consolas"/>
          <w:sz w:val="17"/>
        </w:rPr>
        <w:t>├── event-gateway/</w:t>
        <w:br/>
      </w:r>
      <w:r>
        <w:rPr>
          <w:rFonts w:ascii="Consolas" w:hAnsi="Consolas"/>
          <w:sz w:val="17"/>
        </w:rPr>
        <w:t>│   ├── Dockerfile</w:t>
        <w:br/>
      </w:r>
      <w:r>
        <w:rPr>
          <w:rFonts w:ascii="Consolas" w:hAnsi="Consolas"/>
          <w:sz w:val="17"/>
        </w:rPr>
        <w:t>│   ├── app/</w:t>
        <w:br/>
      </w:r>
      <w:r>
        <w:rPr>
          <w:rFonts w:ascii="Consolas" w:hAnsi="Consolas"/>
          <w:sz w:val="17"/>
        </w:rPr>
        <w:t>│   └── tests/</w:t>
        <w:br/>
      </w:r>
      <w:r>
        <w:rPr>
          <w:rFonts w:ascii="Consolas" w:hAnsi="Consolas"/>
          <w:sz w:val="17"/>
        </w:rPr>
        <w:t>└── account-service/</w:t>
        <w:br/>
      </w:r>
      <w:r>
        <w:rPr>
          <w:rFonts w:ascii="Consolas" w:hAnsi="Consolas"/>
          <w:sz w:val="17"/>
        </w:rPr>
        <w:t xml:space="preserve">    ├── Dockerfile</w:t>
        <w:br/>
      </w:r>
      <w:r>
        <w:rPr>
          <w:rFonts w:ascii="Consolas" w:hAnsi="Consolas"/>
          <w:sz w:val="17"/>
        </w:rPr>
        <w:t xml:space="preserve">    ├── app/</w:t>
        <w:br/>
      </w:r>
      <w:r>
        <w:rPr>
          <w:rFonts w:ascii="Consolas" w:hAnsi="Consolas"/>
          <w:sz w:val="17"/>
        </w:rPr>
        <w:t xml:space="preserve">    └── tests/</w:t>
        <w:br/>
      </w:r>
    </w:p>
    <w:p>
      <w:pPr>
        <w:spacing w:before="160"/>
      </w:pPr>
      <w:r>
        <w:rPr>
          <w:b/>
        </w:rPr>
        <w:t xml:space="preserve">Implementation principle: </w:t>
      </w:r>
      <w:r>
        <w:t>Prefer a complete, well-tested, explainable solution over bonus infrastructure. The core review focus is correctness, idempotency, failure behavior, service separation, and operational clarity.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Public take-home project | Version 1.1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Event Ledger -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80"/>
      <w:ind w:left="288" w:right="288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