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A5F"/>
          <w:sz w:val="40"/>
          <w:szCs w:val="40"/>
        </w:rPr>
        <w:t xml:space="preserve">Turbonomic</w:t>
      </w:r>
    </w:p>
    <w:p>
      <w:pPr>
        <w:pBdr>
          <w:bottom w:val="single" w:color="1F3A5F" w:sz="8" w:space="6"/>
        </w:pBdr>
        <w:spacing w:after="240"/>
      </w:pPr>
      <w:r>
        <w:rPr>
          <w:rFonts w:ascii="Arial" w:cs="Arial" w:eastAsia="Arial" w:hAnsi="Arial"/>
          <w:color w:val="1F2937"/>
          <w:sz w:val="26"/>
          <w:szCs w:val="26"/>
        </w:rPr>
        <w:t xml:space="preserve">Current-state review questions, with AKS as the future state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246"/>
      </w:tblGrid>
      <w:tr>
        <w:trPr>
          <w:cantSplit/>
          <w:tblHeader/>
        </w:trPr>
        <w:tc>
          <w:tcPr>
            <w:tcW w:type="dxa" w:w="25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Item</w:t>
            </w:r>
          </w:p>
        </w:tc>
        <w:tc>
          <w:tcPr>
            <w:tcW w:type="dxa" w:w="72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Detail</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Programme</w:t>
            </w:r>
          </w:p>
        </w:tc>
        <w:tc>
          <w:tcPr>
            <w:tcW w:type="dxa" w:w="72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GEHA Data Centre Exit, Wave 2</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Source</w:t>
            </w:r>
          </w:p>
        </w:tc>
        <w:tc>
          <w:tcPr>
            <w:tcW w:type="dxa" w:w="72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Turbonomic - Application Migration Playbook v0.4 (draft, 26-Aug-2026) and its summary</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Current state</w:t>
            </w:r>
          </w:p>
        </w:tc>
        <w:tc>
          <w:tcPr>
            <w:tcW w:type="dxa" w:w="72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Single CentOS 7 appliance "turbonomic" (DNS node1), Lenexa, 10.0.0.80; 8 vCPU, 128 GB, ~1.78 TB</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Future state</w:t>
            </w:r>
          </w:p>
        </w:tc>
        <w:tc>
          <w:tcPr>
            <w:tcW w:type="dxa" w:w="72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Turbonomic server self-hosted on an AKS cluster in Azure</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Review</w:t>
            </w:r>
          </w:p>
        </w:tc>
        <w:tc>
          <w:tcPr>
            <w:tcW w:type="dxa" w:w="72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Architect review of the current state, Monday 12-Oct-2026</w:t>
            </w:r>
          </w:p>
        </w:tc>
      </w:tr>
      <w:tr>
        <w:trPr>
          <w:cantSplit/>
        </w:trPr>
        <w:tc>
          <w:tcPr>
            <w:tcW w:type="dxa" w:w="25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Prepared by</w:t>
            </w:r>
          </w:p>
        </w:tc>
        <w:tc>
          <w:tcPr>
            <w:tcW w:type="dxa" w:w="72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Saikat Majumdar, Citius Healthcare Consulting</w:t>
            </w:r>
          </w:p>
        </w:tc>
      </w:tr>
    </w:tbl>
    <w:p>
      <w:pPr>
        <w:pStyle w:val="Heading1"/>
        <w:keepNext/>
        <w:spacing w:after="120" w:before="320"/>
      </w:pPr>
      <w:r>
        <w:rPr>
          <w:rFonts w:ascii="Arial" w:cs="Arial" w:eastAsia="Arial" w:hAnsi="Arial"/>
        </w:rPr>
        <w:t xml:space="preserve">How to use this document</w:t>
      </w:r>
    </w:p>
    <w:p>
      <w:pPr>
        <w:spacing w:after="120" w:before="0" w:line="264"/>
      </w:pPr>
      <w:r>
        <w:rPr>
          <w:rFonts w:ascii="Arial" w:cs="Arial" w:eastAsia="Arial" w:hAnsi="Arial"/>
          <w:color w:val="1F2937"/>
          <w:sz w:val="19"/>
          <w:szCs w:val="19"/>
        </w:rPr>
        <w:t xml:space="preserve">Each question points to the part of the playbook it comes from, so the answer can be written straight back into the right section. Section 1 should be covered first, because the AKS future state does not match the disposition recorded in the playbook. Sections 2 to 8 are about the current state. Section 9 lists AKS design points for the architect to agree. Section 10 covers cutover and clean-up.</w:t>
      </w:r>
    </w:p>
    <w:p>
      <w:pPr>
        <w:spacing w:after="120" w:before="0" w:line="264"/>
      </w:pPr>
      <w:r>
        <w:rPr>
          <w:rFonts w:ascii="Arial" w:cs="Arial" w:eastAsia="Arial" w:hAnsi="Arial"/>
          <w:color w:val="1F2937"/>
          <w:sz w:val="19"/>
          <w:szCs w:val="19"/>
        </w:rPr>
        <w:t xml:space="preserve">The last column is left blank for notes during the session. Anything that stays unanswered should become a dated item in Appendix B of the playbook.</w:t>
      </w:r>
    </w:p>
    <w:p>
      <w:pPr>
        <w:pStyle w:val="Heading1"/>
        <w:keepNext/>
        <w:spacing w:after="120" w:before="320"/>
      </w:pPr>
      <w:r>
        <w:rPr>
          <w:rFonts w:ascii="Arial" w:cs="Arial" w:eastAsia="Arial" w:hAnsi="Arial"/>
        </w:rPr>
        <w:t xml:space="preserve">What the playbook already establishes</w:t>
      </w:r>
    </w:p>
    <w:p>
      <w:pPr>
        <w:pStyle w:val="ListParagraph"/>
        <w:numPr>
          <w:ilvl w:val="0"/>
          <w:numId w:val="2"/>
        </w:numPr>
        <w:spacing w:after="60"/>
      </w:pPr>
      <w:r>
        <w:rPr>
          <w:rFonts w:ascii="Arial" w:cs="Arial" w:eastAsia="Arial" w:hAnsi="Arial"/>
          <w:color w:val="1F2937"/>
          <w:sz w:val="19"/>
          <w:szCs w:val="19"/>
        </w:rPr>
        <w:t xml:space="preserve">One live appliance in Lenexa runs Turbonomic as a containerised application inside a CentOS 7 VM. It is a single VM with no HA cluster, in a single production environment.</w:t>
      </w:r>
    </w:p>
    <w:p>
      <w:pPr>
        <w:pStyle w:val="ListParagraph"/>
        <w:numPr>
          <w:ilvl w:val="0"/>
          <w:numId w:val="2"/>
        </w:numPr>
        <w:spacing w:after="60"/>
      </w:pPr>
      <w:r>
        <w:rPr>
          <w:rFonts w:ascii="Arial" w:cs="Arial" w:eastAsia="Arial" w:hAnsi="Arial"/>
          <w:color w:val="1F2937"/>
          <w:sz w:val="19"/>
          <w:szCs w:val="19"/>
        </w:rPr>
        <w:t xml:space="preserve">A powered-off VM with the same name sits in Lee's Summit. It is an older-generation appliance and a decommission candidate.</w:t>
      </w:r>
    </w:p>
    <w:p>
      <w:pPr>
        <w:pStyle w:val="ListParagraph"/>
        <w:numPr>
          <w:ilvl w:val="0"/>
          <w:numId w:val="2"/>
        </w:numPr>
        <w:spacing w:after="60"/>
      </w:pPr>
      <w:r>
        <w:rPr>
          <w:rFonts w:ascii="Arial" w:cs="Arial" w:eastAsia="Arial" w:hAnsi="Arial"/>
          <w:color w:val="1F2937"/>
          <w:sz w:val="19"/>
          <w:szCs w:val="19"/>
        </w:rPr>
        <w:t xml:space="preserve">Five outbound integrations are recorded: vCenter/vSphere (continuous, High), Azure, ServiceNow, Splunk and LDAP/AD for UI login.</w:t>
      </w:r>
    </w:p>
    <w:p>
      <w:pPr>
        <w:pStyle w:val="ListParagraph"/>
        <w:numPr>
          <w:ilvl w:val="0"/>
          <w:numId w:val="2"/>
        </w:numPr>
        <w:spacing w:after="60"/>
      </w:pPr>
      <w:r>
        <w:rPr>
          <w:rFonts w:ascii="Arial" w:cs="Arial" w:eastAsia="Arial" w:hAnsi="Arial"/>
          <w:color w:val="1F2937"/>
          <w:sz w:val="19"/>
          <w:szCs w:val="19"/>
        </w:rPr>
        <w:t xml:space="preserve">No optimisation actions are automated. Recommendations run continuously.</w:t>
      </w:r>
    </w:p>
    <w:p>
      <w:pPr>
        <w:pStyle w:val="ListParagraph"/>
        <w:numPr>
          <w:ilvl w:val="0"/>
          <w:numId w:val="2"/>
        </w:numPr>
        <w:spacing w:after="60"/>
      </w:pPr>
      <w:r>
        <w:rPr>
          <w:rFonts w:ascii="Arial" w:cs="Arial" w:eastAsia="Arial" w:hAnsi="Arial"/>
          <w:color w:val="1F2937"/>
          <w:sz w:val="19"/>
          <w:szCs w:val="19"/>
        </w:rPr>
        <w:t xml:space="preserve">No backup policy is recorded for the live appliance, and no restore has been tested.</w:t>
      </w:r>
    </w:p>
    <w:p>
      <w:pPr>
        <w:pStyle w:val="ListParagraph"/>
        <w:numPr>
          <w:ilvl w:val="0"/>
          <w:numId w:val="2"/>
        </w:numPr>
        <w:spacing w:after="60"/>
      </w:pPr>
      <w:r>
        <w:rPr>
          <w:rFonts w:ascii="Arial" w:cs="Arial" w:eastAsia="Arial" w:hAnsi="Arial"/>
          <w:color w:val="1F2937"/>
          <w:sz w:val="19"/>
          <w:szCs w:val="19"/>
        </w:rPr>
        <w:t xml:space="preserve">Cutover is 01/07/27 (CAB 01/06/27). The contract cliff is 02/28/27, with a $42,687 annual renewal.</w:t>
      </w:r>
    </w:p>
    <w:p>
      <w:pPr>
        <w:pStyle w:val="Heading1"/>
        <w:keepNext/>
        <w:spacing w:after="120" w:before="320"/>
      </w:pPr>
      <w:r>
        <w:rPr>
          <w:rFonts w:ascii="Arial" w:cs="Arial" w:eastAsia="Arial" w:hAnsi="Arial"/>
        </w:rPr>
        <w:t xml:space="preserve">1. Settle these first: direction and scope</w:t>
      </w:r>
    </w:p>
    <w:p>
      <w:pPr>
        <w:keepNext/>
        <w:spacing w:after="120" w:before="0" w:line="264"/>
      </w:pPr>
      <w:r>
        <w:rPr>
          <w:rFonts w:ascii="Arial" w:cs="Arial" w:eastAsia="Arial" w:hAnsi="Arial"/>
          <w:color w:val="1F2937"/>
          <w:sz w:val="19"/>
          <w:szCs w:val="19"/>
        </w:rPr>
        <w:t xml:space="preserve">These six questions decide how the rest of the review is read. If the AKS direction is not yet agreed, the answers to sections 2 to 10 still describe the current state, but the target-design questions in section 9 should be parked.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880"/>
        <w:gridCol w:w="1600"/>
        <w:gridCol w:w="264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w:t>
            </w:r>
          </w:p>
        </w:tc>
        <w:tc>
          <w:tcPr>
            <w:tcW w:type="dxa" w:w="488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Question and basis in the playbook</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Directed to</w:t>
            </w:r>
          </w:p>
        </w:tc>
        <w:tc>
          <w:tcPr>
            <w:tcW w:type="dxa" w:w="2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Notes from the review</w:t>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1.1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The playbook records Turbonomic as RePurchase, with the target being either Turbonomic SaaS or Azure-native tooling. Running Turbonomic ourselves on AKS is a replatform, not a repurchase. Who approved the AKS direction, and will the disposition, the Wave 2 placement and §5 be reissued to match?</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Key Information table; §2 Executive Summary; Discovery Report row 75; GEHA scope note: "Explore Azure options - Turbonomic SaaS may not be worth the $".</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Norris Simmons; CitiusTech PMO</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1.2</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What will Turbonomic manage after the datacenter exit? Today it is described as "specific to VMware". If the vSphere estate is retired, the vCenter target disappears. Please list what it should manage on day one on AKS and twelve months later: Azure VMs, AKS clusters, Azure SQL, any VMware that remains.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§3.1 Business Purpose; Appendix C: platforms integrated are "VMware and Azure".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Norris Simmons; VMware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1.3</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IBM has publicly confirmed support for the Turbonomic server on Amazon EKS and Google GKE. We have not found AKS named in IBM's statements. Can IBM give a written support statement for the Turbonomic server on AKS, for the exact version we plan to deploy?</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§4.2 "Vendor support position" is Not on file; §7.1b gate criterion "Software vendor support position confirmed". IBM Ideas TURBO-I-673 (Jan 2025 response).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IBM account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1.4</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Will Turbonomic get its own AKS cluster, or share a platform cluster? Which team runs the cluster day to day: Kubernetes upgrades, node image patching, certificates, on-call? Today the application team looks after one appliance; AKS adds a platform layer someone has to own.</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§3.2 Technical Owner not resolved; §9 RACI has no AKS platform role.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Cloud platform team; 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1.5</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Has anyone costed Turbonomic on AKS (IBM licence plus AKS compute, storage and operations effort) against Turbonomic SaaS and against Azure-native tooling? The $42,687 annual renewal is the baseline we are comparing with.</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Key Information: contract cliff 02/28/27, annual renewal $42,687; GEHA scope note on cost.</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Norris Simmons; Procurement</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1.6</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Does the 01/07/27 cutover still hold? The plan was sized for a repurchase. An AKS build adds cluster build, IBM support confirmation, history migration and a parallel run. If the date moves past 02/28/27 the renewal is triggered.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§11 Timeline; §10.1 Risks (52 days of float); §10.2 assumption: effort size L, 16 weeks, 4 tracks.</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CitiusTech PMO; Norris Simmons</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bl>
    <w:p>
      <w:pPr>
        <w:pStyle w:val="Heading1"/>
        <w:keepNext/>
        <w:spacing w:after="120" w:before="320"/>
      </w:pPr>
      <w:r>
        <w:rPr>
          <w:rFonts w:ascii="Arial" w:cs="Arial" w:eastAsia="Arial" w:hAnsi="Arial"/>
        </w:rPr>
        <w:t xml:space="preserve">2. Product version and how the appliance is built</w:t>
      </w:r>
    </w:p>
    <w:p>
      <w:pPr>
        <w:keepNext/>
        <w:spacing w:after="120" w:before="0" w:line="264"/>
      </w:pPr>
      <w:r>
        <w:rPr>
          <w:rFonts w:ascii="Arial" w:cs="Arial" w:eastAsia="Arial" w:hAnsi="Arial"/>
          <w:color w:val="1F2937"/>
          <w:sz w:val="19"/>
          <w:szCs w:val="19"/>
        </w:rPr>
        <w:t xml:space="preserve">The playbook has no software version and describes the appliance only as "a containerized app within the VM". We need the real build to know what has to be reproduced on AKS.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880"/>
        <w:gridCol w:w="1600"/>
        <w:gridCol w:w="264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w:t>
            </w:r>
          </w:p>
        </w:tc>
        <w:tc>
          <w:tcPr>
            <w:tcW w:type="dxa" w:w="488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Question and basis in the playbook</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Directed to</w:t>
            </w:r>
          </w:p>
        </w:tc>
        <w:tc>
          <w:tcPr>
            <w:tcW w:type="dxa" w:w="2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Notes from the review</w:t>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2.1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Which exact Turbonomic version and build is installed? A screenshot of the About page or the Updates page is enough.</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Key Information: "installed software version is not recorded"; §4.2.</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2.2</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The vCenter export shows CentOS 7 (64-bit). CentOS 7 reached end of life on 30 June 2024. Is this an IBM-supplied appliance image that IBM still supports, and when was the appliance last upgraded?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§4.1 Host Resource Specifications (vCenter export, LX tab); §4.1.2 OS support status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2.3</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Please confirm the appliance runs the standard Turbonomic 8.x layout: a single-node Kubernetes cluster managed by the t8c-operator. Can you share the output of kubectl get pods -n turbonomic, kubectl get pvc -n turbonomic, and the XL custom resource file (charts_v1alpha1_xl_cr.yaml)? This gives us the component list and every setting we must carry to AKS.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Appendix C: "vSphere, containerized app within VM".</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2.4</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Which optional features are switched on: Embedded Reporting (TimescaleDB and Grafana), Data Exporter, action scripts, Kubeturbo?</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Not covered anywhere in the playbook.</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2.5</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Which probes (targets) are configured? We expect vCenter, Azure and ServiceNow. GEHA said Turbonomic "monitors storage volumes and computing". Are there storage array, hyper-converged, database or APM targets as well?</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Appendix C; §4.7 lists five integrations only.</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2.6</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Is anything customised outside a standard install: changed values in the XL custom resource, memory overrides, scripts or cron jobs on the VM, extra CA certificates loaded into trust stores?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§4.2 Scheduled Jobs and License Binding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2.7</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Are there any other Turbonomic instances (test, lab, or Kubeturbo agents already running in Azure)? The playbook lists a single PROD environment.</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§4.10 Environment Inventory.</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Cloud platform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bl>
    <w:p>
      <w:pPr>
        <w:pStyle w:val="Heading1"/>
        <w:keepNext/>
        <w:spacing w:after="120" w:before="320"/>
      </w:pPr>
      <w:r>
        <w:rPr>
          <w:rFonts w:ascii="Arial" w:cs="Arial" w:eastAsia="Arial" w:hAnsi="Arial"/>
        </w:rPr>
        <w:t xml:space="preserve">3. Data held on the appliance</w:t>
      </w:r>
    </w:p>
    <w:p>
      <w:pPr>
        <w:keepNext/>
        <w:spacing w:after="120" w:before="0" w:line="264"/>
      </w:pPr>
      <w:r>
        <w:rPr>
          <w:rFonts w:ascii="Arial" w:cs="Arial" w:eastAsia="Arial" w:hAnsi="Arial"/>
          <w:color w:val="1F2937"/>
          <w:sz w:val="19"/>
          <w:szCs w:val="19"/>
        </w:rPr>
        <w:t xml:space="preserve">GEHA answered "Don't have on-prem SQL DB", and the playbook concludes there is no database tier. Turbonomic still keeps its history in a database inside the appliance, which is likely where most of the 1.78 TB goes. This is the part of the migration most likely to be underestimated.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880"/>
        <w:gridCol w:w="1600"/>
        <w:gridCol w:w="264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w:t>
            </w:r>
          </w:p>
        </w:tc>
        <w:tc>
          <w:tcPr>
            <w:tcW w:type="dxa" w:w="488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Question and basis in the playbook</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Directed to</w:t>
            </w:r>
          </w:p>
        </w:tc>
        <w:tc>
          <w:tcPr>
            <w:tcW w:type="dxa" w:w="2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Notes from the review</w:t>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3.1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How big is the internal history database (MariaDB in Turbonomic 8.x), and how is the disk split between the OS, the database, other persistent volumes and logs? Please share df -h from the VM and the persistent volume sizes.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§4.4 Data &amp; Database Tier; Appendix C ("Don't have on-prem SQL DB"); §4.1.1 (2 disks, ~1.78 TB).</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3.2</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The vCenter export shows about 1.78 TB on 2 disks. GEHA quoted 1.5 TB. Which figure is current, and how much of it is actually used?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§4.1.1 vs Appendix C answer "8vcpu, 128GB mem, 1.5TB".</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VMware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3.3</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What retention is set for hourly, daily and monthly statistics, and for action history and audit logs?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§4.4: performance-data retention not recorded; Appendix B item 12.</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3.4</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Does history have to move to AKS, or is a clean start acceptable? A new instance needs time to build history before its recommendations can be trusted. Who decides, and does anyone need a read-only copy of old history for audit?</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§4.4 (whether historical analytics must migrate is unanswered); §5.7 Historical Scope.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Norris Simmons</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3.5</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If history moves: does IBM support taking a database backup from this VM appliance and restoring it into a Kubernetes install of the same version? Who at IBM will confirm the steps?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§4.4 export / onboarding path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IBM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3.6</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Which configuration must be rebuilt or carried over: targets, groups, policies (automation, placement, scaling), schedules, plans, custom dashboards, users and roles, the licence? Is any of it already exported or held outside the appliance?</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§5.10 Tenant Configuration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3.7</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Which credentials are stored inside Turbonomic (vCenter, Azure, ServiceNow, LDAP bind)? Can they be re-entered on the new instance, or do they have to be migrated?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§4.8 Certificates &amp; Secrets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bl>
    <w:p>
      <w:pPr>
        <w:pStyle w:val="Heading1"/>
        <w:keepNext/>
        <w:spacing w:after="120" w:before="320"/>
      </w:pPr>
      <w:r>
        <w:rPr>
          <w:rFonts w:ascii="Arial" w:cs="Arial" w:eastAsia="Arial" w:hAnsi="Arial"/>
        </w:rPr>
        <w:t xml:space="preserve">4. Targets and integrations</w:t>
      </w:r>
    </w:p>
    <w:p>
      <w:pPr>
        <w:keepNext/>
        <w:spacing w:after="120" w:before="0" w:line="264"/>
      </w:pPr>
      <w:r>
        <w:rPr>
          <w:rFonts w:ascii="Arial" w:cs="Arial" w:eastAsia="Arial" w:hAnsi="Arial"/>
          <w:color w:val="1F2937"/>
          <w:sz w:val="19"/>
          <w:szCs w:val="19"/>
        </w:rPr>
        <w:t xml:space="preserve">§4.7 lists five outbound integrations but no owners, accounts, ports or endpoints. Each one has to be rebuilt from the AKS side, so we need the detail behind each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880"/>
        <w:gridCol w:w="1600"/>
        <w:gridCol w:w="264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w:t>
            </w:r>
          </w:p>
        </w:tc>
        <w:tc>
          <w:tcPr>
            <w:tcW w:type="dxa" w:w="488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Question and basis in the playbook</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Directed to</w:t>
            </w:r>
          </w:p>
        </w:tc>
        <w:tc>
          <w:tcPr>
            <w:tcW w:type="dxa" w:w="2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Notes from the review</w:t>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4.1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vCenter: how many vCenter Servers are targets, which versions, and in which site (Lenexa, Lee's Summit)? Which account does Turbonomic use, and which vCenter role does it have: read-only, or rights to run actions?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§4.7 row 1 (criticality High, far-side owner not named).</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VMware team; 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4.2</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How does the appliance reach vCenter today: port 443 only, or also ESXi hosts directly? We need the exact rules to open from the AKS subnet for as long as vCenter remains.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§4.6 Firewall Rules Not on file; Appendix B item 14.</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Network team; VMware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4.3</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Azure: which subscriptions or management groups are targets? Is it a service principal (app registration), which role does it hold (Reader or more), and when does its client secret expire?</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Discovery Report row 75: "connection established with Azure"; §4.7 row 2.</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Cloud platform team; 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4.4</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On AKS, can the Azure target authenticate with a managed identity or workload identity instead of a client secret? Does our Turbonomic version support that?</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§5.6 Programmatic Access Design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Cloud platform team; IBM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4.5</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ServiceNow: what is integrated exactly? The Turbonomic app from the ServiceNow Store (action approval or change requests), CMDB updates, incident creation, or email only? Which ServiceNow instance and account, and is a MID Server involved?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Appendix C: "ServiceNow integrated"; §4.7 row 3 (on event).</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ServiceNow team; 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4.6</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Splunk: "Splunk monitors" the appliance. Is that a Universal Forwarder on the VM, syslog sent from the appliance, or Splunk calling the Turbonomic API? Which index, alerts and dashboards depend on it?</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Appendix C; §4.7 row 4.</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Monitoring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4.7</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Does Turbonomic send email notifications? If so, through which SMTP relay?</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§4.7 asks for implicit dependencies such as mail relays; none listed.</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4.8</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Does anything call the Turbonomic REST API: scripts, reports, Power BI, ServiceNow? Which accounts do those callers use?</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§4.5.3 Non-Interactive &amp; Bypass Access (checklist blank).</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4.9</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Does anything refer to the appliance by IP address (10.0.0.80) or by the names node1 or turbonomic: bookmarks, Splunk inputs, ServiceNow configuration, firewall objects?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§4.1 (IP and DNS name); §4.6 DNS records.</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Network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4.10</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GEHA said "nothing is automated at the moment". Are actions run by hand from the UI, or approved through ServiceNow? Is automation planned after the move? The answer decides whether the vCenter and Azure accounts need write permissions on the new instance.</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Appendix C: optimisation actions automated; recommendations run "Constant".</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Norris Simmons; 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bl>
    <w:p>
      <w:pPr>
        <w:pStyle w:val="Heading1"/>
        <w:keepNext/>
        <w:spacing w:after="120" w:before="320"/>
      </w:pPr>
      <w:r>
        <w:rPr>
          <w:rFonts w:ascii="Arial" w:cs="Arial" w:eastAsia="Arial" w:hAnsi="Arial"/>
        </w:rPr>
        <w:t xml:space="preserve">5. Identity and access</w:t>
      </w:r>
    </w:p>
    <w:p>
      <w:pPr>
        <w:keepNext/>
        <w:spacing w:after="120" w:before="0" w:line="264"/>
      </w:pPr>
      <w:r>
        <w:rPr>
          <w:rFonts w:ascii="Arial" w:cs="Arial" w:eastAsia="Arial" w:hAnsi="Arial"/>
          <w:color w:val="1F2937"/>
          <w:sz w:val="19"/>
          <w:szCs w:val="19"/>
        </w:rPr>
        <w:t xml:space="preserve">GEHA uses LDAP for the UI today. Entra ID is the enterprise SSO standard according to the Identity &amp; Access discovery session. On AKS, staying on LDAP means a network path from the cluster to the domain controllers.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880"/>
        <w:gridCol w:w="1600"/>
        <w:gridCol w:w="264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w:t>
            </w:r>
          </w:p>
        </w:tc>
        <w:tc>
          <w:tcPr>
            <w:tcW w:type="dxa" w:w="488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Question and basis in the playbook</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Directed to</w:t>
            </w:r>
          </w:p>
        </w:tc>
        <w:tc>
          <w:tcPr>
            <w:tcW w:type="dxa" w:w="2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Notes from the review</w:t>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5.1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LDAP: which domain controllers or LDAP endpoint, plain LDAP (389) or LDAPS (636), which bind account, which base DN, and which AD groups map to which Turbonomic roles?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Appendix C: authentication "ldap"; Discovery Report row 75 "LDAP/AD"; §4.5.4 AD group register blank.</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Identity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5.2</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How many named users are there, and in which roles (Administrator, Automator, Deployer, Advisor, Observer)? Are there local accounts, including the default administrator account?</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§4.5 internal user accounts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5.3</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On AKS, do we keep LDAP or move to SAML single sign-on with Entra ID? Entra ID SSO removes the need for the cluster to reach the domain controllers.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§4.5 Identity &amp; Access discovery session note (Entra ID used for SSO); §5.6 Target identity design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Identity team; Architect</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5.4</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Is MFA enforced for Turbonomic users today, and where?</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§4.5 MFA in Use left blank.</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Identity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5.5</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Who has SSH access to the VM and kubectl access to the appliance cluster today? What is the equivalent on AKS (Entra ID integrated RBAC, just-in-time access)?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§4.5 Privileged Access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Cloud platform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bl>
    <w:p>
      <w:pPr>
        <w:pStyle w:val="Heading1"/>
        <w:keepNext/>
        <w:spacing w:after="120" w:before="320"/>
      </w:pPr>
      <w:r>
        <w:rPr>
          <w:rFonts w:ascii="Arial" w:cs="Arial" w:eastAsia="Arial" w:hAnsi="Arial"/>
        </w:rPr>
        <w:t xml:space="preserve">6. Network, DNS and certificates</w:t>
      </w:r>
    </w:p>
    <w:p>
      <w:pPr>
        <w:keepNext/>
        <w:spacing w:after="120" w:before="0" w:line="264"/>
      </w:pPr>
      <w:r>
        <w:rPr>
          <w:rFonts w:ascii="Arial" w:cs="Arial" w:eastAsia="Arial" w:hAnsi="Arial"/>
          <w:color w:val="1F2937"/>
          <w:sz w:val="19"/>
          <w:szCs w:val="19"/>
        </w:rPr>
        <w:t xml:space="preserve">The network section of the playbook is mostly empty. These are the facts needed to plan the AKS network path and the coexistence period.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880"/>
        <w:gridCol w:w="1600"/>
        <w:gridCol w:w="264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w:t>
            </w:r>
          </w:p>
        </w:tc>
        <w:tc>
          <w:tcPr>
            <w:tcW w:type="dxa" w:w="488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Question and basis in the playbook</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Directed to</w:t>
            </w:r>
          </w:p>
        </w:tc>
        <w:tc>
          <w:tcPr>
            <w:tcW w:type="dxa" w:w="2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Notes from the review</w:t>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6.1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What is the UI URL and DNS record? Is the UI reachable only from the internal network?</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Key Information: "UI endpoint URL is not on file"; Appendix B.</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Network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6.2</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Which certificate does the UI present: who issued it (internal AD CS or public CA), when does it expire, and who renews it? Will it still be valid on 01/07/27?</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§4.8 Certificates &amp; Secrets blank.</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PKI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6.3</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What outbound access does the appliance use today: Azure management endpoints, IBM licensing or telemetry, ServiceNow, Splunk? Is there a proxy? On AKS, egress will go through the hub Azure Firewall, so we need the full FQDN and port list.</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§4.6; Network &amp; Connectivity discovery session (secured hubs with Azure Firewall).</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Network team; 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6.4</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While vCenter is still on-premises, AKS will poll it over ExpressRoute. Is that route in place for the target spoke, is there enough bandwidth for continuous polling, and is any NAT involved?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§4.6.1 discovery note on ExpressRoute uplink as a timeline risk; §4.7 vCenter polling "Continuous".</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Network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6.5</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Do users reach the UI on the corporate network only, or over VPN as well? Is anything in front of the appliance today (load balancer, reverse proxy)?</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§4.6.1 Remote Access VPN and §4.6.2 Load Balancer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Network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bl>
    <w:p>
      <w:pPr>
        <w:pStyle w:val="Heading1"/>
        <w:keepNext/>
        <w:spacing w:after="120" w:before="320"/>
      </w:pPr>
      <w:r>
        <w:rPr>
          <w:rFonts w:ascii="Arial" w:cs="Arial" w:eastAsia="Arial" w:hAnsi="Arial"/>
        </w:rPr>
        <w:t xml:space="preserve">7. Availability, backup and day-to-day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880"/>
        <w:gridCol w:w="1600"/>
        <w:gridCol w:w="264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w:t>
            </w:r>
          </w:p>
        </w:tc>
        <w:tc>
          <w:tcPr>
            <w:tcW w:type="dxa" w:w="488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Question and basis in the playbook</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Directed to</w:t>
            </w:r>
          </w:p>
        </w:tc>
        <w:tc>
          <w:tcPr>
            <w:tcW w:type="dxa" w:w="2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Notes from the review</w:t>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7.1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The vCenter export shows no backup policy on the live Lenexa appliance. Only the powered-off Lee's Summit VM shows "2WK Backup". Is the live appliance backed up anywhere (Cohesity, VM snapshots, Turbonomic database dumps)? When was a restore last tested?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§4.11 Availability &amp; Backup Position; Appendix B items 12 and 17.</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Backup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7.2</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The BIA records RTO 24 hours; GEHA answered "no" to SLA, RTO and RPO. Which applies to the AKS design? This drives availability zones, backup frequency and whether a second region is needed.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§3.3 Criticality &amp; Service Levels; Appendix C.</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Norris Simmons</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7.3</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Can we have 30 days of CPU, memory, disk I/O and network figures for the VM from vCenter? Matilda has no data for this host, and we need it to size the AKS node pools.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§4.1.1 Sizing &amp; Utilization Baseline (peaks not recorded).</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VMware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7.4</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How many entities does Turbonomic manage today: VMs, hosts, datastores, Azure resources? This feeds AKS sizing and the licence count.</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Not recorded in the playbook.</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7.5</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Who patches and upgrades Turbonomic today, how often, and when was the last upgrade?</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§8.2 Operational Readiness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7.6</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Are there known problems, open IBM support cases, or performance complaints with the current appliance that we should not carry over?</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§8.2 Known Issues Carried Into Service blank.</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7.7</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Can we confirm the powered-off Lee's Summit VM (CentOS 4/5, HW v7, no IP) is unused and can be deleted? Does it hold anything worth keeping, such as an old licence or configuration export?</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§4.1 provenance note; §10.4 open item due 10/23/26.</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VMware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bl>
    <w:p>
      <w:pPr>
        <w:pStyle w:val="Heading1"/>
        <w:keepNext/>
        <w:spacing w:after="120" w:before="320"/>
      </w:pPr>
      <w:r>
        <w:rPr>
          <w:rFonts w:ascii="Arial" w:cs="Arial" w:eastAsia="Arial" w:hAnsi="Arial"/>
        </w:rPr>
        <w:t xml:space="preserve">8. Licensing and vendor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880"/>
        <w:gridCol w:w="1600"/>
        <w:gridCol w:w="264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w:t>
            </w:r>
          </w:p>
        </w:tc>
        <w:tc>
          <w:tcPr>
            <w:tcW w:type="dxa" w:w="488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Question and basis in the playbook</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Directed to</w:t>
            </w:r>
          </w:p>
        </w:tc>
        <w:tc>
          <w:tcPr>
            <w:tcW w:type="dxa" w:w="2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Notes from the review</w:t>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8.1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GEHA describes the licence as "workload-based" and "transferable to cloud". Does the entitlement cover a self-hosted install on AKS specifically? Where is the licence file or key held?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Appendix C: licensing answer; §5.3 Contract, Licensing &amp; Exit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Procurement; IBM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8.2</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How many workloads are licensed, and how many are in use today?</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§5.3 License Count &amp; Allocation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Procurement</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8.3</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Is the contract with IBM directly or through a reseller, and which support tier? Does the 02/28/27 end date cover both licence and support? Could a short extension cover a parallel run if needed?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Key Information (contract cliff); §5.3.</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Procurement</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8.4</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Who is the named IBM contact for migration support?</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Key Information: Vendor Contact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bl>
    <w:p>
      <w:pPr>
        <w:pStyle w:val="Heading1"/>
        <w:keepNext/>
        <w:spacing w:after="120" w:before="320"/>
      </w:pPr>
      <w:r>
        <w:rPr>
          <w:rFonts w:ascii="Arial" w:cs="Arial" w:eastAsia="Arial" w:hAnsi="Arial"/>
        </w:rPr>
        <w:t xml:space="preserve">9. AKS target design: points to agree</w:t>
      </w:r>
    </w:p>
    <w:p>
      <w:pPr>
        <w:keepNext/>
        <w:spacing w:after="120" w:before="0" w:line="264"/>
      </w:pPr>
      <w:r>
        <w:rPr>
          <w:rFonts w:ascii="Arial" w:cs="Arial" w:eastAsia="Arial" w:hAnsi="Arial"/>
          <w:color w:val="1F2937"/>
          <w:sz w:val="19"/>
          <w:szCs w:val="19"/>
        </w:rPr>
        <w:t xml:space="preserve">These are for the architect to raise, not for the application owner to answer alone. Several depend on IBM's support statement in 1.3.</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880"/>
        <w:gridCol w:w="1600"/>
        <w:gridCol w:w="264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w:t>
            </w:r>
          </w:p>
        </w:tc>
        <w:tc>
          <w:tcPr>
            <w:tcW w:type="dxa" w:w="488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Question and basis in the playbook</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Directed to</w:t>
            </w:r>
          </w:p>
        </w:tc>
        <w:tc>
          <w:tcPr>
            <w:tcW w:type="dxa" w:w="2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Notes from the review</w:t>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Which Turbonomic version will we deploy, and which Kubernetes versions does IBM support for it? How do we keep AKS upgrades inside that range, given AKS's support window for each Kubernetes minor version?</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§7.1b gate: software vendor support position confirmed for the target configuration.</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 IBM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9.2</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Node pools: separate system and user node pools? Which VM size and how many nodes? IBM's EKS guide asks for at least three worker nodes of 4 vCPU and 16 GB each; the current appliance has 8 vCPU and 128 GB. Spread across availability zones?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§4.1.1 allocation; IBM community EKS deployment guide.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 Cloud platform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9.3</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Storage: which storage class (Azure Disk Premium SSD or Premium SSD v2 through the CSI driver, or Azure Files)? What size for each persistent volume? Zone-redundant or locally redundant?</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Answers to 3.1 and 3.2.</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9.4</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Database: keep Turbonomic's database inside the cluster, or use an external managed database? Azure Database for MariaDB has been retired, so an external option would be Azure Database for MySQL Flexible Server. Does IBM support that for our version?</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§4.4; IBM support statement (1.3).</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 IBM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9.5</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Network: private cluster? Which spoke VNet and subnet from the platform team? Azure CNI overlay or another network plugin? Ingress through an internal load balancer in front of Turbonomic's own nginx, or through Application Gateway? Private DNS record for the UI name?</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§5.9 Network Connectivity Not on file.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 Network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9.6</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Container images: pull from IBM's registry through the firewall, or mirror into a GEHA Azure Container Registry? Who scans and approves the images?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§5.9 Vendor Endpoints to Allow.</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 Security</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9.7</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Secrets: hold target credentials, the LDAP bind password and the TLS certificate in Azure Key Vault, mounted through the Secrets Store CSI driver?</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§4.8; §5.6.</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 Security</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9.8</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Backup and recovery on AKS: Azure Backup for AKS or Velero for the persistent volumes, plus regular Turbonomic database dumps? Will a restore be tested before go-live?</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§4.11 (no restore on record today); §7.1b gate "Rollback rehearsed and viable".</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 Backup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9.9</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Monitoring and security: Container Insights and Azure Monitor alerts, Defender for Containers, Azure Policy for AKS? Does Splunk keep receiving logs from the new instance?</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§8.2 Availability Monitoring and Log Export to SIEM.</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 Monitoring team; Security</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9.10</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Build method: will the AKS cluster and the Turbonomic deployment follow the programme pattern (application repository in the TIO Azure DevOps project calling the shared Bicep modules, with apply and destroy pipelines)? Is the operator and custom resource deployed by pipeline or by GitOps?</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Programme IaC convention used for earlier applications.</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 Cloud platform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9.11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Will Kubeturbo be installed so that Turbonomic also manages the AKS clusters, including the one it runs on?</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Ties to 1.2 (what Turbonomic manages after the exit).</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Architect; Norris Simmons</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bl>
    <w:p>
      <w:pPr>
        <w:pStyle w:val="Heading1"/>
        <w:keepNext/>
        <w:spacing w:after="120" w:before="320"/>
      </w:pPr>
      <w:r>
        <w:rPr>
          <w:rFonts w:ascii="Arial" w:cs="Arial" w:eastAsia="Arial" w:hAnsi="Arial"/>
        </w:rPr>
        <w:t xml:space="preserve">10. Cutover, parallel run and clean-up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880"/>
        <w:gridCol w:w="1600"/>
        <w:gridCol w:w="2646"/>
      </w:tblGrid>
      <w:tr>
        <w:trPr>
          <w:cantSplit/>
          <w:tblHeader/>
        </w:trPr>
        <w:tc>
          <w:tcPr>
            <w:tcW w:type="dxa" w:w="62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w:t>
            </w:r>
          </w:p>
        </w:tc>
        <w:tc>
          <w:tcPr>
            <w:tcW w:type="dxa" w:w="488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Question and basis in the playbook</w:t>
            </w:r>
          </w:p>
        </w:tc>
        <w:tc>
          <w:tcPr>
            <w:tcW w:type="dxa" w:w="16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Directed to</w:t>
            </w:r>
          </w:p>
        </w:tc>
        <w:tc>
          <w:tcPr>
            <w:tcW w:type="dxa" w:w="2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Notes from the review</w:t>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10.1</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Can the old appliance and the new AKS instance run side by side against the same vCenter and Azure targets in read-only mode? For how long? Does a parallel run count twice against the licence?</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§6.1 Migration Wave &amp; Sequencing (coexistence period not stated).</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IBM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10.2</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What will prove the new instance is right: matching entity counts, the same recommendations for a sample of VMs, ServiceNow and Splunk receiving data, users logging in through the agreed method?</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§7.8 Reconciliation &amp; Acceptance; §6.4 Testing Strategy (all blank).</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Norris Simmons; Architect</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10.3</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Rollback: how long will the Lenexa appliance stay powered on after cutover, and who makes the call to fall back?</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§7.9 Rollback; §3.2 Rollback Authority not named.</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Norris Simmons</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r>
        <w:trPr>
          <w:cantSplit/>
        </w:trPr>
        <w:tc>
          <w:tcPr>
            <w:tcW w:type="dxa" w:w="62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10.4</w:t>
            </w:r>
          </w:p>
        </w:tc>
        <w:tc>
          <w:tcPr>
            <w:tcW w:type="dxa" w:w="488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60" w:before="0" w:line="264"/>
            </w:pPr>
            <w:r>
              <w:rPr>
                <w:rFonts w:ascii="Arial" w:cs="Arial" w:eastAsia="Arial" w:hAnsi="Arial"/>
                <w:color w:val="1F2937"/>
                <w:sz w:val="18"/>
                <w:szCs w:val="18"/>
              </w:rPr>
              <w:t xml:space="preserve">After cutover, who removes the old firewall rules, the DNS record, the LDAP bind account, the vCenter and Azure credentials used by the old appliance, the Splunk input and the ServiceNow integration user?</w:t>
            </w:r>
          </w:p>
          <w:p>
            <w:pPr>
              <w:spacing w:after="0" w:before="0" w:line="264"/>
            </w:pPr>
            <w:r>
              <w:rPr>
                <w:rFonts w:ascii="Arial" w:cs="Arial" w:eastAsia="Arial" w:hAnsi="Arial"/>
                <w:b/>
                <w:bCs/>
                <w:color w:val="5B6472"/>
                <w:sz w:val="15"/>
                <w:szCs w:val="15"/>
              </w:rPr>
              <w:t xml:space="preserve">Basis: </w:t>
            </w:r>
            <w:r>
              <w:rPr>
                <w:rFonts w:ascii="Arial" w:cs="Arial" w:eastAsia="Arial" w:hAnsi="Arial"/>
                <w:i/>
                <w:iCs/>
                <w:color w:val="5B6472"/>
                <w:sz w:val="15"/>
                <w:szCs w:val="15"/>
              </w:rPr>
              <w:t xml:space="preserve">§8.3 Decommission steps (owners not named).</w:t>
            </w:r>
          </w:p>
        </w:tc>
        <w:tc>
          <w:tcPr>
            <w:tcW w:type="dxa" w:w="16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Dale Gibson; Network team; Identity team</w:t>
            </w:r>
          </w:p>
        </w:tc>
        <w:tc>
          <w:tcPr>
            <w:tcW w:type="dxa" w:w="2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color w:val="1F2937"/>
                <w:sz w:val="17"/>
                <w:szCs w:val="17"/>
              </w:rPr>
              <w:t xml:space="preserve"/>
            </w:r>
          </w:p>
        </w:tc>
      </w:tr>
    </w:tbl>
    <w:p>
      <w:pPr>
        <w:pStyle w:val="Heading1"/>
        <w:keepNext/>
        <w:spacing w:after="120" w:before="320"/>
      </w:pPr>
      <w:r>
        <w:rPr>
          <w:rFonts w:ascii="Arial" w:cs="Arial" w:eastAsia="Arial" w:hAnsi="Arial"/>
        </w:rPr>
        <w:t xml:space="preserve">11. Playbook points to correct</w:t>
      </w:r>
    </w:p>
    <w:p>
      <w:pPr>
        <w:keepNext/>
        <w:spacing w:after="120" w:before="0" w:line="264"/>
      </w:pPr>
      <w:r>
        <w:rPr>
          <w:rFonts w:ascii="Arial" w:cs="Arial" w:eastAsia="Arial" w:hAnsi="Arial"/>
          <w:color w:val="1F2937"/>
          <w:sz w:val="19"/>
          <w:szCs w:val="19"/>
        </w:rPr>
        <w:t xml:space="preserve">These inconsistencies came up while preparing the questions. They are listed here so they are fixed in the next issue rather than carried forward.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646"/>
        <w:gridCol w:w="3400"/>
      </w:tblGrid>
      <w:tr>
        <w:trPr>
          <w:cantSplit/>
          <w:tblHeader/>
        </w:trPr>
        <w:tc>
          <w:tcPr>
            <w:tcW w:type="dxa" w:w="17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Topic</w:t>
            </w:r>
          </w:p>
        </w:tc>
        <w:tc>
          <w:tcPr>
            <w:tcW w:type="dxa" w:w="4646"/>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What the playbook says</w:t>
            </w:r>
          </w:p>
        </w:tc>
        <w:tc>
          <w:tcPr>
            <w:tcW w:type="dxa" w:w="3400"/>
            <w:tcBorders>
              <w:top w:val="single" w:color="C9D1DC" w:sz="4"/>
              <w:left w:val="single" w:color="C9D1DC" w:sz="4"/>
              <w:bottom w:val="single" w:color="C9D1DC" w:sz="4"/>
              <w:right w:val="single" w:color="C9D1DC" w:sz="4"/>
            </w:tcBorders>
            <w:shd w:fill="1F3A5F" w:color="auto" w:val="clear"/>
            <w:tcMar>
              <w:top w:type="dxa" w:w="80"/>
              <w:left w:type="dxa" w:w="100"/>
              <w:bottom w:type="dxa" w:w="80"/>
              <w:right w:type="dxa" w:w="100"/>
            </w:tcMar>
            <w:vAlign w:val="top"/>
          </w:tcPr>
          <w:p>
            <w:pPr>
              <w:spacing w:after="0" w:before="0" w:line="264"/>
            </w:pPr>
            <w:r>
              <w:rPr>
                <w:rFonts w:ascii="Arial" w:cs="Arial" w:eastAsia="Arial" w:hAnsi="Arial"/>
                <w:b/>
                <w:bCs/>
                <w:color w:val="FFFFFF"/>
                <w:sz w:val="17"/>
                <w:szCs w:val="17"/>
              </w:rPr>
              <w:t xml:space="preserve">Proposed action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Application owner</w:t>
            </w:r>
          </w:p>
        </w:tc>
        <w:tc>
          <w:tcPr>
            <w:tcW w:type="dxa" w:w="4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Discovery Report row 75 names Adriane Westhoven; the BASELINE v2.1 Owners tab names Norris Simmons.</w:t>
            </w:r>
          </w:p>
        </w:tc>
        <w:tc>
          <w:tcPr>
            <w:tcW w:type="dxa" w:w="3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Confirm Norris Simmons and remove the conflict from §4.1.</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Disposition</w:t>
            </w:r>
          </w:p>
        </w:tc>
        <w:tc>
          <w:tcPr>
            <w:tcW w:type="dxa" w:w="4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Playbook says RePurchase (SaaS or Azure-native). The future state is now AKS.</w:t>
            </w:r>
          </w:p>
        </w:tc>
        <w:tc>
          <w:tcPr>
            <w:tcW w:type="dxa" w:w="3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Reissue the Key Information table, §2 and §5 once 1.1 is answered.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Disk size</w:t>
            </w:r>
          </w:p>
        </w:tc>
        <w:tc>
          <w:tcPr>
            <w:tcW w:type="dxa" w:w="4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vCenter export: ~1.78 TB on 2 disks. GEHA answer: 1.5 TB.</w:t>
            </w:r>
          </w:p>
        </w:tc>
        <w:tc>
          <w:tcPr>
            <w:tcW w:type="dxa" w:w="3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Record the figure confirmed in 3.2.</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Database</w:t>
            </w:r>
          </w:p>
        </w:tc>
        <w:tc>
          <w:tcPr>
            <w:tcW w:type="dxa" w:w="4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"No on-prem SQL DB" is read as "no database tier", but history lives in the appliance's own database.</w:t>
            </w:r>
          </w:p>
        </w:tc>
        <w:tc>
          <w:tcPr>
            <w:tcW w:type="dxa" w:w="3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Rewrite §4.4 once 3.1 is answered.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Service levels</w:t>
            </w:r>
          </w:p>
        </w:tc>
        <w:tc>
          <w:tcPr>
            <w:tcW w:type="dxa" w:w="4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BIA: RTO 24 hours. Discovery Session 2: no SLA, RTO or RPO.</w:t>
            </w:r>
          </w:p>
        </w:tc>
        <w:tc>
          <w:tcPr>
            <w:tcW w:type="dxa" w:w="3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Owner to confirm which applies (7.2).</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Information requests</w:t>
            </w:r>
          </w:p>
        </w:tc>
        <w:tc>
          <w:tcPr>
            <w:tcW w:type="dxa" w:w="4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Gaps cite Appendix B items 05, 06, 12 and 16, but those items are programme-wide requests (vendor portal logins, owner reassignments, Cohesity backup, SQL write audit).</w:t>
            </w:r>
          </w:p>
        </w:tc>
        <w:tc>
          <w:tcPr>
            <w:tcW w:type="dxa" w:w="3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Raise Turbonomic-specific Appendix B items for the answers gathered on Monday.</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80"/>
              <w:left w:type="dxa" w:w="100"/>
              <w:bottom w:type="dxa" w:w="80"/>
              <w:right w:type="dxa" w:w="100"/>
            </w:tcMar>
            <w:vAlign w:val="top"/>
          </w:tcPr>
          <w:p>
            <w:pPr>
              <w:spacing w:after="0" w:before="0" w:line="264"/>
            </w:pPr>
            <w:r>
              <w:rPr>
                <w:rFonts w:ascii="Arial" w:cs="Arial" w:eastAsia="Arial" w:hAnsi="Arial"/>
                <w:b/>
                <w:bCs/>
                <w:color w:val="1F2937"/>
                <w:sz w:val="18"/>
                <w:szCs w:val="18"/>
              </w:rPr>
              <w:t xml:space="preserve">Document version</w:t>
            </w:r>
          </w:p>
        </w:tc>
        <w:tc>
          <w:tcPr>
            <w:tcW w:type="dxa" w:w="4646"/>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Cover says v0.4; every page header says v0.3. The v0.4 change note cites BASELINE v1.9; the body uses v2.1.</w:t>
            </w:r>
          </w:p>
        </w:tc>
        <w:tc>
          <w:tcPr>
            <w:tcW w:type="dxa" w:w="3400"/>
            <w:tcBorders>
              <w:top w:val="single" w:color="C9D1DC" w:sz="4"/>
              <w:left w:val="single" w:color="C9D1DC" w:sz="4"/>
              <w:bottom w:val="single" w:color="C9D1DC" w:sz="4"/>
              <w:right w:val="single" w:color="C9D1DC" w:sz="4"/>
            </w:tcBorders>
            <w:tcMar>
              <w:top w:type="dxa" w:w="80"/>
              <w:left w:type="dxa" w:w="100"/>
              <w:bottom w:type="dxa" w:w="80"/>
              <w:right w:type="dxa" w:w="100"/>
            </w:tcMar>
            <w:vAlign w:val="top"/>
          </w:tcPr>
          <w:p>
            <w:pPr>
              <w:spacing w:after="0" w:before="0" w:line="264"/>
            </w:pPr>
            <w:r>
              <w:rPr>
                <w:rFonts w:ascii="Arial" w:cs="Arial" w:eastAsia="Arial" w:hAnsi="Arial"/>
                <w:b w:val="false"/>
                <w:bCs w:val="false"/>
                <w:color w:val="1F2937"/>
                <w:sz w:val="18"/>
                <w:szCs w:val="18"/>
              </w:rPr>
              <w:t xml:space="preserve">Fix headers and change note in the next issue.</w:t>
            </w:r>
          </w:p>
        </w:tc>
      </w:tr>
    </w:tbl>
    <w:p>
      <w:pPr>
        <w:pStyle w:val="Heading1"/>
        <w:keepNext/>
        <w:spacing w:after="120" w:before="320"/>
      </w:pPr>
      <w:r>
        <w:rPr>
          <w:rFonts w:ascii="Arial" w:cs="Arial" w:eastAsia="Arial" w:hAnsi="Arial"/>
        </w:rPr>
        <w:t xml:space="preserve">Sources</w:t>
      </w:r>
    </w:p>
    <w:p>
      <w:pPr>
        <w:pStyle w:val="ListParagraph"/>
        <w:numPr>
          <w:ilvl w:val="0"/>
          <w:numId w:val="2"/>
        </w:numPr>
        <w:spacing w:after="60"/>
      </w:pPr>
      <w:r>
        <w:rPr>
          <w:rFonts w:ascii="Arial" w:cs="Arial" w:eastAsia="Arial" w:hAnsi="Arial"/>
          <w:color w:val="1F2937"/>
          <w:sz w:val="18"/>
          <w:szCs w:val="18"/>
        </w:rPr>
        <w:t xml:space="preserve">Turbonomic - Application Migration Playbook v0.4 (GEHA), Citius Healthcare Consulting, 26-Aug-2026</w:t>
      </w:r>
    </w:p>
    <w:p>
      <w:pPr>
        <w:pStyle w:val="ListParagraph"/>
        <w:numPr>
          <w:ilvl w:val="0"/>
          <w:numId w:val="2"/>
        </w:numPr>
        <w:spacing w:after="60"/>
      </w:pPr>
      <w:hyperlink w:history="1" r:id="rId6dkry4npxxwxtpijmnsvc">
        <w:r>
          <w:rPr>
            <w:rStyle w:val="Hyperlink"/>
            <w:rFonts w:ascii="Arial" w:cs="Arial" w:eastAsia="Arial" w:hAnsi="Arial"/>
            <w:sz w:val="18"/>
            <w:szCs w:val="18"/>
          </w:rPr>
          <w:t xml:space="preserve">IBM Ideas TURBO-I-673: multi-node Turbonomic on Kubernetes other than OpenShift (IBM response, Jan 2025)</w:t>
        </w:r>
      </w:hyperlink>
    </w:p>
    <w:p>
      <w:pPr>
        <w:pStyle w:val="ListParagraph"/>
        <w:numPr>
          <w:ilvl w:val="0"/>
          <w:numId w:val="2"/>
        </w:numPr>
        <w:spacing w:after="60"/>
      </w:pPr>
      <w:hyperlink w:history="1" r:id="rId0jcbnlux3lq5vmiqmmwhm">
        <w:r>
          <w:rPr>
            <w:rStyle w:val="Hyperlink"/>
            <w:rFonts w:ascii="Arial" w:cs="Arial" w:eastAsia="Arial" w:hAnsi="Arial"/>
            <w:sz w:val="18"/>
            <w:szCs w:val="18"/>
          </w:rPr>
          <w:t xml:space="preserve">IBM Community: Turbonomic deployment on AWS EKS (node sizing, storage class, operator)</w:t>
        </w:r>
      </w:hyperlink>
    </w:p>
    <w:p>
      <w:pPr>
        <w:pStyle w:val="ListParagraph"/>
        <w:numPr>
          <w:ilvl w:val="0"/>
          <w:numId w:val="2"/>
        </w:numPr>
        <w:spacing w:after="60"/>
      </w:pPr>
      <w:hyperlink w:history="1" r:id="rId6kapdmg-2sg5pozodcd2a">
        <w:r>
          <w:rPr>
            <w:rStyle w:val="Hyperlink"/>
            <w:rFonts w:ascii="Arial" w:cs="Arial" w:eastAsia="Arial" w:hAnsi="Arial"/>
            <w:sz w:val="18"/>
            <w:szCs w:val="18"/>
          </w:rPr>
          <w:t xml:space="preserve">IBM Turbonomic documentation index (8.x)</w:t>
        </w:r>
      </w:hyperlink>
    </w:p>
    <w:sectPr>
      <w:headerReference w:type="default" r:id="rId7"/>
      <w:footerReference w:type="default" r:id="rId8"/>
      <w:pgSz w:w="11906" w:h="16838" w:orient="portrait"/>
      <w:pgMar w:top="108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472"/>
        <w:sz w:val="15"/>
        <w:szCs w:val="15"/>
      </w:rPr>
      <w:t xml:space="preserve">GEHA Data Centre Exit  |  Turbonomic  |  Current-state review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dkry4npxxwxtpijmnsvc" Type="http://schemas.openxmlformats.org/officeDocument/2006/relationships/hyperlink" Target="https://automation-management.ideas.ibm.com/ideas/TURBO-I-673" TargetMode="External"/><Relationship Id="rId0jcbnlux3lq5vmiqmmwhm" Type="http://schemas.openxmlformats.org/officeDocument/2006/relationships/hyperlink" Target="https://community.ibm.com/community/user/blogs/anand-awasthi1/2022/12/12/turbonomic-deployment-on-aws-eks" TargetMode="External"/><Relationship Id="rId6kapdmg-2sg5pozodcd2a" Type="http://schemas.openxmlformats.org/officeDocument/2006/relationships/hyperlink" Target="https://www.ibm.com/docs/en/tarm/curren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Turbonomic - Current-state review questions (AKS future state)</dc:title>
  <dc:creator>Saikat Majumdar</dc:creator>
  <cp:lastModifiedBy>Un-named</cp:lastModifiedBy>
  <cp:revision>1</cp:revision>
  <dcterms:created xsi:type="dcterms:W3CDTF">2026-10-10T12:31:31.624Z</dcterms:created>
  <dcterms:modified xsi:type="dcterms:W3CDTF">2026-10-10T12:31:31.624Z</dcterms:modified>
</cp:coreProperties>
</file>

<file path=docProps/custom.xml><?xml version="1.0" encoding="utf-8"?>
<Properties xmlns="http://schemas.openxmlformats.org/officeDocument/2006/custom-properties" xmlns:vt="http://schemas.openxmlformats.org/officeDocument/2006/docPropsVTypes"/>
</file>