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000000"/>
          <w:sz w:val="30"/>
        </w:rPr>
        <w:t>CyberArk PAS — Execution Blueprint</w:t>
      </w:r>
    </w:p>
    <w:p>
      <w:pPr>
        <w:spacing w:after="200"/>
      </w:pPr>
      <w:r>
        <w:rPr>
          <w:color w:val="000000"/>
          <w:sz w:val="19"/>
        </w:rPr>
        <w:t>Steps 5 to 8 · build to operational connector · companion to Execution Workflow v0.2</w:t>
      </w:r>
    </w:p>
    <w:p>
      <w:r>
        <w:rPr>
          <w:b w:val="0"/>
          <w:i w:val="0"/>
          <w:color w:val="000000"/>
          <w:sz w:val="18"/>
        </w:rPr>
        <w:t>These four steps take the estate from "two Windows servers exist" to "two registered, hardened CyberArk connectors that answer a health check". Steps 5 and 6 can overlap; Steps 6, 7 and 8 are strictly sequential per connector, and the two connectors are built one after the other, never in parallel.</w:t>
      </w:r>
    </w:p>
    <w:p>
      <w:pPr>
        <w:keepNext/>
        <w:spacing w:before="280" w:after="120"/>
        <w:pBdr>
          <w:bottom w:val="single" w:sz="8" w:space="3" w:color="000000"/>
        </w:pBdr>
      </w:pPr>
      <w:r>
        <w:rPr>
          <w:b/>
          <w:color w:val="000000"/>
          <w:sz w:val="22"/>
        </w:rPr>
        <w:t>The flow at a glance</w:t>
      </w:r>
    </w:p>
    <w:tbl>
      <w:tblPr>
        <w:tblStyle w:val="TableGrid"/>
        <w:tblW w:type="auto" w:w="0"/>
        <w:tblLayout w:type="fixed"/>
        <w:tblLook w:firstColumn="1" w:firstRow="1" w:lastColumn="0" w:lastRow="0" w:noHBand="0" w:noVBand="1" w:val="04A0"/>
        <w:tblLayout w:type="fixed"/>
      </w:tblPr>
      <w:tblGrid>
        <w:gridCol w:w="792"/>
        <w:gridCol w:w="4320"/>
        <w:gridCol w:w="2520"/>
        <w:gridCol w:w="2592"/>
      </w:tblGrid>
      <w:tr>
        <w:tc>
          <w:tcPr>
            <w:tcW w:type="dxa" w:w="792"/>
            <w:vAlign w:val="center"/>
            <w:shd w:val="clear" w:color="auto" w:fill="D9D9D9"/>
          </w:tcPr>
          <w:p>
            <w:pPr>
              <w:spacing w:after="0" w:line="240" w:lineRule="auto"/>
            </w:pPr>
            <w:r>
              <w:rPr>
                <w:b/>
                <w:color w:val="000000"/>
                <w:sz w:val="17"/>
              </w:rPr>
              <w:t>Step</w:t>
            </w:r>
          </w:p>
        </w:tc>
        <w:tc>
          <w:tcPr>
            <w:tcW w:type="dxa" w:w="4320"/>
            <w:vAlign w:val="center"/>
            <w:shd w:val="clear" w:color="auto" w:fill="D9D9D9"/>
          </w:tcPr>
          <w:p>
            <w:pPr>
              <w:spacing w:after="0" w:line="240" w:lineRule="auto"/>
            </w:pPr>
            <w:r>
              <w:rPr>
                <w:b/>
                <w:color w:val="000000"/>
                <w:sz w:val="17"/>
              </w:rPr>
              <w:t>What happens</w:t>
            </w:r>
          </w:p>
        </w:tc>
        <w:tc>
          <w:tcPr>
            <w:tcW w:type="dxa" w:w="2520"/>
            <w:vAlign w:val="center"/>
            <w:shd w:val="clear" w:color="auto" w:fill="D9D9D9"/>
          </w:tcPr>
          <w:p>
            <w:pPr>
              <w:spacing w:after="0" w:line="240" w:lineRule="auto"/>
            </w:pPr>
            <w:r>
              <w:rPr>
                <w:b/>
                <w:color w:val="000000"/>
                <w:sz w:val="17"/>
              </w:rPr>
              <w:t>Who leads</w:t>
            </w:r>
          </w:p>
        </w:tc>
        <w:tc>
          <w:tcPr>
            <w:tcW w:type="dxa" w:w="2592"/>
            <w:vAlign w:val="center"/>
            <w:shd w:val="clear" w:color="auto" w:fill="D9D9D9"/>
          </w:tcPr>
          <w:p>
            <w:pPr>
              <w:spacing w:after="0" w:line="240" w:lineRule="auto"/>
            </w:pPr>
            <w:r>
              <w:rPr>
                <w:b/>
                <w:color w:val="000000"/>
                <w:sz w:val="17"/>
              </w:rPr>
              <w:t>Done when</w:t>
            </w:r>
          </w:p>
        </w:tc>
      </w:tr>
      <w:tr>
        <w:tc>
          <w:tcPr>
            <w:tcW w:type="dxa" w:w="792"/>
            <w:vAlign w:val="center"/>
          </w:tcPr>
          <w:p>
            <w:pPr>
              <w:spacing w:after="0" w:line="245" w:lineRule="auto"/>
            </w:pPr>
            <w:r>
              <w:rPr>
                <w:b/>
                <w:color w:val="000000"/>
                <w:sz w:val="17"/>
              </w:rPr>
              <w:t>5</w:t>
            </w:r>
          </w:p>
        </w:tc>
        <w:tc>
          <w:tcPr>
            <w:tcW w:type="dxa" w:w="4320"/>
            <w:vAlign w:val="center"/>
          </w:tcPr>
          <w:p>
            <w:pPr>
              <w:spacing w:after="0" w:line="245" w:lineRule="auto"/>
            </w:pPr>
            <w:r>
              <w:rPr>
                <w:b w:val="0"/>
                <w:color w:val="000000"/>
                <w:sz w:val="17"/>
              </w:rPr>
              <w:t>Network paths and name resolution are put in place and proven by hand</w:t>
            </w:r>
          </w:p>
        </w:tc>
        <w:tc>
          <w:tcPr>
            <w:tcW w:type="dxa" w:w="2520"/>
            <w:vAlign w:val="center"/>
          </w:tcPr>
          <w:p>
            <w:pPr>
              <w:spacing w:after="0" w:line="245" w:lineRule="auto"/>
            </w:pPr>
            <w:r>
              <w:rPr>
                <w:b w:val="0"/>
                <w:color w:val="000000"/>
                <w:sz w:val="17"/>
              </w:rPr>
              <w:t>Network team, Cloud Platform Team</w:t>
            </w:r>
          </w:p>
        </w:tc>
        <w:tc>
          <w:tcPr>
            <w:tcW w:type="dxa" w:w="2592"/>
            <w:vAlign w:val="center"/>
          </w:tcPr>
          <w:p>
            <w:pPr>
              <w:spacing w:after="0" w:line="245" w:lineRule="auto"/>
            </w:pPr>
            <w:r>
              <w:rPr>
                <w:b w:val="0"/>
                <w:color w:val="000000"/>
                <w:sz w:val="17"/>
              </w:rPr>
              <w:t>Every path tested from each connector; the deny path refuses</w:t>
            </w:r>
          </w:p>
        </w:tc>
      </w:tr>
      <w:tr>
        <w:tc>
          <w:tcPr>
            <w:tcW w:type="dxa" w:w="792"/>
            <w:vAlign w:val="center"/>
          </w:tcPr>
          <w:p>
            <w:pPr>
              <w:spacing w:after="0" w:line="245" w:lineRule="auto"/>
            </w:pPr>
            <w:r>
              <w:rPr>
                <w:b/>
                <w:color w:val="000000"/>
                <w:sz w:val="17"/>
              </w:rPr>
              <w:t>6</w:t>
            </w:r>
          </w:p>
        </w:tc>
        <w:tc>
          <w:tcPr>
            <w:tcW w:type="dxa" w:w="4320"/>
            <w:vAlign w:val="center"/>
          </w:tcPr>
          <w:p>
            <w:pPr>
              <w:spacing w:after="0" w:line="245" w:lineRule="auto"/>
            </w:pPr>
            <w:r>
              <w:rPr>
                <w:b w:val="0"/>
                <w:color w:val="000000"/>
                <w:sz w:val="17"/>
              </w:rPr>
              <w:t>The server is prepared and registered as a connector in the CyberArk tenant</w:t>
            </w:r>
          </w:p>
        </w:tc>
        <w:tc>
          <w:tcPr>
            <w:tcW w:type="dxa" w:w="2520"/>
            <w:vAlign w:val="center"/>
          </w:tcPr>
          <w:p>
            <w:pPr>
              <w:spacing w:after="0" w:line="245" w:lineRule="auto"/>
            </w:pPr>
            <w:r>
              <w:rPr>
                <w:b w:val="0"/>
                <w:color w:val="000000"/>
                <w:sz w:val="17"/>
              </w:rPr>
              <w:t>Implementation team, with GEHA CyberArk admin</w:t>
            </w:r>
          </w:p>
        </w:tc>
        <w:tc>
          <w:tcPr>
            <w:tcW w:type="dxa" w:w="2592"/>
            <w:vAlign w:val="center"/>
          </w:tcPr>
          <w:p>
            <w:pPr>
              <w:spacing w:after="0" w:line="245" w:lineRule="auto"/>
            </w:pPr>
            <w:r>
              <w:rPr>
                <w:b w:val="0"/>
                <w:color w:val="000000"/>
                <w:sz w:val="17"/>
              </w:rPr>
              <w:t>Connector appears in Connector Management</w:t>
            </w:r>
          </w:p>
        </w:tc>
      </w:tr>
      <w:tr>
        <w:tc>
          <w:tcPr>
            <w:tcW w:type="dxa" w:w="792"/>
            <w:vAlign w:val="center"/>
          </w:tcPr>
          <w:p>
            <w:pPr>
              <w:spacing w:after="0" w:line="245" w:lineRule="auto"/>
            </w:pPr>
            <w:r>
              <w:rPr>
                <w:b/>
                <w:color w:val="000000"/>
                <w:sz w:val="17"/>
              </w:rPr>
              <w:t>7</w:t>
            </w:r>
          </w:p>
        </w:tc>
        <w:tc>
          <w:tcPr>
            <w:tcW w:type="dxa" w:w="4320"/>
            <w:vAlign w:val="center"/>
          </w:tcPr>
          <w:p>
            <w:pPr>
              <w:spacing w:after="0" w:line="245" w:lineRule="auto"/>
            </w:pPr>
            <w:r>
              <w:rPr>
                <w:b w:val="0"/>
                <w:color w:val="000000"/>
                <w:sz w:val="17"/>
              </w:rPr>
              <w:t>CyberArk components are installed and the tenant is told where to send sessions</w:t>
            </w:r>
          </w:p>
        </w:tc>
        <w:tc>
          <w:tcPr>
            <w:tcW w:type="dxa" w:w="2520"/>
            <w:vAlign w:val="center"/>
          </w:tcPr>
          <w:p>
            <w:pPr>
              <w:spacing w:after="0" w:line="245" w:lineRule="auto"/>
            </w:pPr>
            <w:r>
              <w:rPr>
                <w:b w:val="0"/>
                <w:color w:val="000000"/>
                <w:sz w:val="17"/>
              </w:rPr>
              <w:t>Implementation team, with GEHA CyberArk admin</w:t>
            </w:r>
          </w:p>
        </w:tc>
        <w:tc>
          <w:tcPr>
            <w:tcW w:type="dxa" w:w="2592"/>
            <w:vAlign w:val="center"/>
          </w:tcPr>
          <w:p>
            <w:pPr>
              <w:spacing w:after="0" w:line="245" w:lineRule="auto"/>
            </w:pPr>
            <w:r>
              <w:rPr>
                <w:b w:val="0"/>
                <w:color w:val="000000"/>
                <w:sz w:val="17"/>
              </w:rPr>
              <w:t>All components active; Configured PSM Servers entry created</w:t>
            </w:r>
          </w:p>
        </w:tc>
      </w:tr>
      <w:tr>
        <w:tc>
          <w:tcPr>
            <w:tcW w:type="dxa" w:w="792"/>
            <w:vAlign w:val="center"/>
          </w:tcPr>
          <w:p>
            <w:pPr>
              <w:spacing w:after="0" w:line="245" w:lineRule="auto"/>
            </w:pPr>
            <w:r>
              <w:rPr>
                <w:b/>
                <w:color w:val="000000"/>
                <w:sz w:val="17"/>
              </w:rPr>
              <w:t>8</w:t>
            </w:r>
          </w:p>
        </w:tc>
        <w:tc>
          <w:tcPr>
            <w:tcW w:type="dxa" w:w="4320"/>
            <w:vAlign w:val="center"/>
          </w:tcPr>
          <w:p>
            <w:pPr>
              <w:spacing w:after="0" w:line="245" w:lineRule="auto"/>
            </w:pPr>
            <w:r>
              <w:rPr>
                <w:b w:val="0"/>
                <w:color w:val="000000"/>
                <w:sz w:val="17"/>
              </w:rPr>
              <w:t>Hardening is applied and the connector is proven to be serving</w:t>
            </w:r>
          </w:p>
        </w:tc>
        <w:tc>
          <w:tcPr>
            <w:tcW w:type="dxa" w:w="2520"/>
            <w:vAlign w:val="center"/>
          </w:tcPr>
          <w:p>
            <w:pPr>
              <w:spacing w:after="0" w:line="245" w:lineRule="auto"/>
            </w:pPr>
            <w:r>
              <w:rPr>
                <w:b w:val="0"/>
                <w:color w:val="000000"/>
                <w:sz w:val="17"/>
              </w:rPr>
              <w:t>Implementation team, with GEHA Identity for the GPO</w:t>
            </w:r>
          </w:p>
        </w:tc>
        <w:tc>
          <w:tcPr>
            <w:tcW w:type="dxa" w:w="2592"/>
            <w:vAlign w:val="center"/>
          </w:tcPr>
          <w:p>
            <w:pPr>
              <w:spacing w:after="0" w:line="245" w:lineRule="auto"/>
            </w:pPr>
            <w:r>
              <w:rPr>
                <w:b w:val="0"/>
                <w:color w:val="000000"/>
                <w:sz w:val="17"/>
              </w:rPr>
              <w:t>Green in the portal; health endpoint returns 200</w:t>
            </w:r>
          </w:p>
        </w:tc>
      </w:tr>
    </w:tbl>
    <w:p>
      <w:pPr>
        <w:spacing w:after="0"/>
      </w:pPr>
    </w:p>
    <w:p>
      <w:r>
        <w:rPr>
          <w:b w:val="0"/>
          <w:i w:val="0"/>
          <w:color w:val="000000"/>
          <w:sz w:val="17"/>
        </w:rPr>
        <w:t>The handoff that matters: Step 5 must finish before Step 6 starts. Registration in Step 6 calls out to the CyberArk tenant on TCP 443 and the vault on 1858. If those paths are not open and proven, the registration script hangs rather than failing cleanly, which is difficult to diagnose under time pressure.</w:t>
      </w:r>
    </w:p>
    <w:p>
      <w:pPr>
        <w:keepNext/>
        <w:spacing w:before="280" w:after="120"/>
        <w:pBdr>
          <w:bottom w:val="single" w:sz="8" w:space="3" w:color="000000"/>
        </w:pBdr>
      </w:pPr>
      <w:r>
        <w:rPr>
          <w:b/>
          <w:color w:val="000000"/>
          <w:sz w:val="22"/>
        </w:rPr>
        <w:t>Step 5 — Network Routing and DNS</w:t>
      </w:r>
    </w:p>
    <w:p>
      <w:r>
        <w:rPr>
          <w:b w:val="0"/>
          <w:i/>
          <w:color w:val="000000"/>
          <w:sz w:val="17"/>
        </w:rPr>
        <w:t>Purpose: open every path the connector needs, prove the one path it must not have, and give the load balancer a name. Nothing CyberArk-specific is installed here.</w:t>
      </w:r>
    </w:p>
    <w:p>
      <w:pPr>
        <w:keepNext/>
        <w:spacing w:before="180" w:after="60"/>
      </w:pPr>
      <w:r>
        <w:rPr>
          <w:b/>
          <w:color w:val="000000"/>
          <w:sz w:val="19"/>
        </w:rPr>
        <w:t>Sequence</w:t>
      </w:r>
    </w:p>
    <w:p>
      <w:pPr>
        <w:spacing w:after="60"/>
        <w:ind w:left="461" w:hanging="461"/>
      </w:pPr>
      <w:r>
        <w:rPr>
          <w:b/>
          <w:color w:val="000000"/>
          <w:sz w:val="18"/>
        </w:rPr>
        <w:t xml:space="preserve">5.1  </w:t>
      </w:r>
      <w:r>
        <w:rPr>
          <w:color w:val="000000"/>
          <w:sz w:val="18"/>
        </w:rPr>
        <w:t>Apply rule collection group</w:t>
      </w:r>
      <w:r>
        <w:rPr>
          <w:rFonts w:ascii="Consolas" w:hAnsi="Consolas"/>
          <w:color w:val="000000"/>
          <w:sz w:val="17"/>
        </w:rPr>
        <w:t xml:space="preserve"> rcg-sec-cyberark</w:t>
      </w:r>
    </w:p>
    <w:p>
      <w:pPr>
        <w:spacing w:after="60"/>
        <w:ind w:left="461" w:hanging="461"/>
      </w:pPr>
      <w:r>
        <w:rPr>
          <w:b/>
          <w:color w:val="000000"/>
          <w:sz w:val="18"/>
        </w:rPr>
        <w:t xml:space="preserve">  </w:t>
      </w:r>
      <w:r>
        <w:rPr>
          <w:color w:val="000000"/>
          <w:sz w:val="18"/>
        </w:rPr>
        <w:t>to DefaultFirewallPolicy and create the IP groups. This comes first — nothing can be path-tested until the groups exist.</w:t>
      </w:r>
    </w:p>
    <w:p>
      <w:pPr>
        <w:spacing w:after="60"/>
        <w:ind w:left="461" w:hanging="461"/>
      </w:pPr>
      <w:r>
        <w:rPr>
          <w:b/>
          <w:color w:val="000000"/>
          <w:sz w:val="18"/>
        </w:rPr>
        <w:t xml:space="preserve">5.2  </w:t>
      </w:r>
      <w:r>
        <w:rPr>
          <w:color w:val="000000"/>
          <w:sz w:val="18"/>
        </w:rPr>
        <w:t>Implement the Central US hub firewall rules, including the intrusion detection bypass on port 1858.</w:t>
      </w:r>
    </w:p>
    <w:p>
      <w:pPr>
        <w:spacing w:after="60"/>
        <w:ind w:left="461" w:hanging="461"/>
      </w:pPr>
      <w:r>
        <w:rPr>
          <w:b/>
          <w:color w:val="000000"/>
          <w:sz w:val="18"/>
        </w:rPr>
        <w:t xml:space="preserve">5.3  </w:t>
      </w:r>
      <w:r>
        <w:rPr>
          <w:color w:val="000000"/>
          <w:sz w:val="18"/>
        </w:rPr>
        <w:t>Apply the NSG rule set to the connector subnet: inbound TCP 3389 from the on-premises client and administrative ranges (rules 100 and 120); the platform probe tag on both probe ports; TCP 135, 445 and the dynamic range from the SCCM site server and ServiceNow MID server; deny all other inbound (rule 4000).</w:t>
      </w:r>
    </w:p>
    <w:p>
      <w:pPr>
        <w:spacing w:after="60"/>
        <w:ind w:left="461" w:hanging="461"/>
      </w:pPr>
      <w:r>
        <w:rPr>
          <w:b/>
          <w:color w:val="000000"/>
          <w:sz w:val="18"/>
        </w:rPr>
        <w:t xml:space="preserve">5.4  </w:t>
      </w:r>
      <w:r>
        <w:rPr>
          <w:color w:val="000000"/>
          <w:sz w:val="18"/>
        </w:rPr>
        <w:t>Provision the internal DNS A records pointing at the load balancer front ends —</w:t>
      </w:r>
      <w:r>
        <w:rPr>
          <w:rFonts w:ascii="Consolas" w:hAnsi="Consolas"/>
          <w:color w:val="000000"/>
          <w:sz w:val="17"/>
        </w:rPr>
        <w:t xml:space="preserve"> cyberark-prd.geha.com</w:t>
      </w:r>
    </w:p>
    <w:p>
      <w:pPr>
        <w:spacing w:after="60"/>
        <w:ind w:left="461" w:hanging="461"/>
      </w:pPr>
      <w:r>
        <w:rPr>
          <w:b/>
          <w:color w:val="000000"/>
          <w:sz w:val="18"/>
        </w:rPr>
        <w:t xml:space="preserve">  </w:t>
      </w:r>
      <w:r>
        <w:rPr>
          <w:color w:val="000000"/>
          <w:sz w:val="18"/>
        </w:rPr>
        <w:t>and the non-production equivalent. Placed in the on-premises zone by the platform team.</w:t>
      </w:r>
    </w:p>
    <w:p>
      <w:pPr>
        <w:spacing w:after="60"/>
        <w:ind w:left="461" w:hanging="461"/>
      </w:pPr>
      <w:r>
        <w:rPr>
          <w:b/>
          <w:color w:val="000000"/>
          <w:sz w:val="18"/>
        </w:rPr>
        <w:t xml:space="preserve">5.5  </w:t>
      </w:r>
      <w:r>
        <w:rPr>
          <w:color w:val="000000"/>
          <w:sz w:val="18"/>
        </w:rPr>
        <w:t>Verify every path by hand from each connector: the CyberArk tenant, the vault on 1858, the domain controllers, the log platform indexers. Then confirm the deny path refuses.</w:t>
      </w:r>
    </w:p>
    <w:p>
      <w:pPr>
        <w:keepNext/>
        <w:spacing w:before="180" w:after="60"/>
      </w:pPr>
      <w:r>
        <w:rPr>
          <w:b/>
          <w:color w:val="000000"/>
          <w:sz w:val="19"/>
        </w:rPr>
        <w:t>Watch for</w:t>
      </w:r>
    </w:p>
    <w:p>
      <w:r>
        <w:rPr>
          <w:b w:val="0"/>
          <w:i w:val="0"/>
          <w:color w:val="000000"/>
          <w:sz w:val="17"/>
        </w:rPr>
        <w:t>A rule present in the policy is not the same as a rule that works. Step 5.5 is the only thing that proves it. Do not report the network as ready on the strength of the change record alone.</w:t>
      </w:r>
    </w:p>
    <w:p>
      <w:pPr>
        <w:keepNext/>
        <w:spacing w:before="280" w:after="120"/>
        <w:pBdr>
          <w:bottom w:val="single" w:sz="8" w:space="3" w:color="000000"/>
        </w:pBdr>
      </w:pPr>
      <w:r>
        <w:rPr>
          <w:b/>
          <w:color w:val="000000"/>
          <w:sz w:val="22"/>
        </w:rPr>
        <w:t>Step 6 — Connector Registration</w:t>
      </w:r>
    </w:p>
    <w:p>
      <w:r>
        <w:rPr>
          <w:b w:val="0"/>
          <w:i/>
          <w:color w:val="000000"/>
          <w:sz w:val="17"/>
        </w:rPr>
        <w:t>Purpose: prepare the operating system and introduce the server to the CyberArk tenant. At the end of this step the tenant knows the server exists, but nothing useful is installed yet.</w:t>
      </w:r>
    </w:p>
    <w:p>
      <w:pPr>
        <w:keepNext/>
        <w:spacing w:before="180" w:after="60"/>
      </w:pPr>
      <w:r>
        <w:rPr>
          <w:b/>
          <w:color w:val="000000"/>
          <w:sz w:val="19"/>
        </w:rPr>
        <w:t>Sequence</w:t>
      </w:r>
    </w:p>
    <w:p>
      <w:r>
        <w:rPr>
          <w:b/>
          <w:i w:val="0"/>
          <w:color w:val="000000"/>
          <w:sz w:val="17"/>
        </w:rPr>
        <w:t>Prerequisites, before anyone signs in:</w:t>
      </w:r>
    </w:p>
    <w:p>
      <w:pPr>
        <w:spacing w:after="60"/>
        <w:ind w:left="461" w:hanging="461"/>
      </w:pPr>
      <w:r>
        <w:rPr>
          <w:b/>
          <w:color w:val="000000"/>
          <w:sz w:val="18"/>
        </w:rPr>
        <w:t xml:space="preserve">6.1  </w:t>
      </w:r>
      <w:r>
        <w:rPr>
          <w:color w:val="000000"/>
          <w:sz w:val="18"/>
        </w:rPr>
        <w:t>Confirm both connectors are joined to GEHA.com, and that PSMConnect and PSMAdminConnect exist as domain accounts.</w:t>
      </w:r>
    </w:p>
    <w:p>
      <w:pPr>
        <w:spacing w:after="60"/>
        <w:ind w:left="461" w:hanging="461"/>
      </w:pPr>
      <w:r>
        <w:rPr>
          <w:b/>
          <w:color w:val="000000"/>
          <w:sz w:val="18"/>
        </w:rPr>
        <w:t xml:space="preserve">6.2  </w:t>
      </w:r>
      <w:r>
        <w:rPr>
          <w:color w:val="000000"/>
          <w:sz w:val="18"/>
        </w:rPr>
        <w:t>Confirm the account to be used for the second PSM installation is not a direct owner of the</w:t>
      </w:r>
      <w:r>
        <w:rPr>
          <w:rFonts w:ascii="Consolas" w:hAnsi="Consolas"/>
          <w:color w:val="000000"/>
          <w:sz w:val="17"/>
        </w:rPr>
        <w:t xml:space="preserve"> PSMUnmanagedSessionAccounts</w:t>
      </w:r>
    </w:p>
    <w:p>
      <w:pPr>
        <w:spacing w:after="60"/>
        <w:ind w:left="461" w:hanging="461"/>
      </w:pPr>
      <w:r>
        <w:rPr>
          <w:b/>
          <w:color w:val="000000"/>
          <w:sz w:val="18"/>
        </w:rPr>
        <w:t xml:space="preserve">  </w:t>
      </w:r>
      <w:r>
        <w:rPr>
          <w:color w:val="000000"/>
          <w:sz w:val="18"/>
        </w:rPr>
        <w:t>safe.</w:t>
      </w:r>
    </w:p>
    <w:p>
      <w:r>
        <w:rPr>
          <w:b/>
          <w:i w:val="0"/>
          <w:color w:val="000000"/>
          <w:sz w:val="17"/>
        </w:rPr>
        <w:t>Then, on the first connector:</w:t>
      </w:r>
    </w:p>
    <w:p>
      <w:pPr>
        <w:spacing w:after="60"/>
        <w:ind w:left="461" w:hanging="461"/>
      </w:pPr>
      <w:r>
        <w:rPr>
          <w:b/>
          <w:color w:val="000000"/>
          <w:sz w:val="18"/>
        </w:rPr>
        <w:t xml:space="preserve">6.3  </w:t>
      </w:r>
      <w:r>
        <w:rPr>
          <w:color w:val="000000"/>
          <w:sz w:val="18"/>
        </w:rPr>
        <w:t>Sign in to the server with local administrative credentials.</w:t>
      </w:r>
    </w:p>
    <w:p>
      <w:pPr>
        <w:spacing w:after="60"/>
        <w:ind w:left="461" w:hanging="461"/>
      </w:pPr>
      <w:r>
        <w:rPr>
          <w:b/>
          <w:color w:val="000000"/>
          <w:sz w:val="18"/>
        </w:rPr>
        <w:t xml:space="preserve">6.4  </w:t>
      </w:r>
      <w:r>
        <w:rPr>
          <w:color w:val="000000"/>
          <w:sz w:val="18"/>
        </w:rPr>
        <w:t>Download the Privilege Cloud software package and the standalone deployment tools from the CyberArk Marketplace. These are two separate downloads.</w:t>
      </w:r>
    </w:p>
    <w:p>
      <w:pPr>
        <w:spacing w:after="60"/>
        <w:ind w:left="461" w:hanging="461"/>
      </w:pPr>
      <w:r>
        <w:rPr>
          <w:b/>
          <w:color w:val="000000"/>
          <w:sz w:val="18"/>
        </w:rPr>
        <w:t xml:space="preserve">6.5  </w:t>
      </w:r>
      <w:r>
        <w:rPr>
          <w:color w:val="000000"/>
          <w:sz w:val="18"/>
        </w:rPr>
        <w:t>Temporarily disable the endpoint protection agent.</w:t>
      </w:r>
    </w:p>
    <w:p>
      <w:pPr>
        <w:spacing w:after="60"/>
        <w:ind w:left="461" w:hanging="461"/>
      </w:pPr>
      <w:r>
        <w:rPr>
          <w:b/>
          <w:color w:val="000000"/>
          <w:sz w:val="18"/>
        </w:rPr>
        <w:t xml:space="preserve">6.6  </w:t>
      </w:r>
      <w:r>
        <w:rPr>
          <w:color w:val="000000"/>
          <w:sz w:val="18"/>
        </w:rPr>
        <w:t>Run the prerequisites script:</w:t>
      </w:r>
      <w:r>
        <w:rPr>
          <w:rFonts w:ascii="Consolas" w:hAnsi="Consolas"/>
          <w:color w:val="000000"/>
          <w:sz w:val="17"/>
        </w:rPr>
        <w:t xml:space="preserve"> .\ConnectorCheckPrerequisites_PrivilegeCloud.ps1</w:t>
      </w:r>
    </w:p>
    <w:p>
      <w:pPr>
        <w:spacing w:after="60"/>
        <w:ind w:left="461" w:hanging="461"/>
      </w:pPr>
      <w:r>
        <w:rPr>
          <w:b/>
          <w:color w:val="000000"/>
          <w:sz w:val="18"/>
        </w:rPr>
        <w:t xml:space="preserve">6.7  </w:t>
      </w:r>
      <w:r>
        <w:rPr>
          <w:color w:val="000000"/>
          <w:sz w:val="18"/>
        </w:rPr>
        <w:t>Fix everything it reports. The script installs the Remote Desktop Services role itself, which is why the policy exemption has to be approved before this point.</w:t>
      </w:r>
    </w:p>
    <w:p>
      <w:pPr>
        <w:spacing w:after="60"/>
        <w:ind w:left="461" w:hanging="461"/>
      </w:pPr>
      <w:r>
        <w:rPr>
          <w:b/>
          <w:color w:val="000000"/>
          <w:sz w:val="18"/>
        </w:rPr>
        <w:t xml:space="preserve">6.8  </w:t>
      </w:r>
      <w:r>
        <w:rPr>
          <w:color w:val="000000"/>
          <w:sz w:val="18"/>
        </w:rPr>
        <w:t>In the CyberArk portal choose Add Connector, generate the registration script, and run it on the server within the five-minute validity window.</w:t>
      </w:r>
    </w:p>
    <w:p>
      <w:pPr>
        <w:keepNext/>
        <w:spacing w:before="180" w:after="60"/>
      </w:pPr>
      <w:r>
        <w:rPr>
          <w:b/>
          <w:color w:val="000000"/>
          <w:sz w:val="19"/>
        </w:rPr>
        <w:t>Watch for</w:t>
      </w:r>
    </w:p>
    <w:p>
      <w:r>
        <w:rPr>
          <w:b w:val="0"/>
          <w:i w:val="0"/>
          <w:color w:val="000000"/>
          <w:sz w:val="17"/>
        </w:rPr>
        <w:t>The five-minute window is the classic trip. Have the PowerShell session already open on the server before you generate the script. If it expires, use Renew rather than starting again.</w:t>
      </w:r>
    </w:p>
    <w:p>
      <w:pPr>
        <w:keepNext/>
        <w:pageBreakBefore/>
        <w:spacing w:before="280" w:after="120"/>
        <w:pBdr>
          <w:bottom w:val="single" w:sz="8" w:space="3" w:color="000000"/>
        </w:pBdr>
      </w:pPr>
      <w:r>
        <w:rPr>
          <w:b/>
          <w:color w:val="000000"/>
          <w:sz w:val="22"/>
        </w:rPr>
        <w:t>Step 7 — Component Installation</w:t>
      </w:r>
    </w:p>
    <w:p>
      <w:r>
        <w:rPr>
          <w:b w:val="0"/>
          <w:i/>
          <w:color w:val="000000"/>
          <w:sz w:val="17"/>
        </w:rPr>
        <w:t>Purpose: install what actually brokers sessions, then tell the tenant to route sessions to the Azure pair.</w:t>
      </w:r>
    </w:p>
    <w:p>
      <w:pPr>
        <w:keepNext/>
        <w:spacing w:before="180" w:after="60"/>
      </w:pPr>
      <w:r>
        <w:rPr>
          <w:b/>
          <w:color w:val="000000"/>
          <w:sz w:val="19"/>
        </w:rPr>
        <w:t>Sequence, per connector</w:t>
      </w:r>
    </w:p>
    <w:p>
      <w:pPr>
        <w:spacing w:after="60"/>
        <w:ind w:left="461" w:hanging="461"/>
      </w:pPr>
      <w:r>
        <w:rPr>
          <w:b/>
          <w:color w:val="000000"/>
          <w:sz w:val="18"/>
        </w:rPr>
        <w:t xml:space="preserve">7.1  </w:t>
      </w:r>
      <w:r>
        <w:rPr>
          <w:color w:val="000000"/>
          <w:sz w:val="18"/>
        </w:rPr>
        <w:t>In the portal select the connector, then ⋮ → Add Component.</w:t>
      </w:r>
    </w:p>
    <w:p>
      <w:pPr>
        <w:spacing w:after="60"/>
        <w:ind w:left="461" w:hanging="461"/>
      </w:pPr>
      <w:r>
        <w:rPr>
          <w:b/>
          <w:color w:val="000000"/>
          <w:sz w:val="18"/>
        </w:rPr>
        <w:t xml:space="preserve">7.2  </w:t>
      </w:r>
      <w:r>
        <w:rPr>
          <w:color w:val="000000"/>
          <w:sz w:val="18"/>
        </w:rPr>
        <w:t>Set deployment mode to Production. Never Proof-of-Concept — it skips the hardening.</w:t>
      </w:r>
    </w:p>
    <w:p>
      <w:pPr>
        <w:spacing w:after="60"/>
        <w:ind w:left="461" w:hanging="461"/>
      </w:pPr>
      <w:r>
        <w:rPr>
          <w:b/>
          <w:color w:val="000000"/>
          <w:sz w:val="18"/>
        </w:rPr>
        <w:t xml:space="preserve">7.3  </w:t>
      </w:r>
      <w:r>
        <w:rPr>
          <w:color w:val="000000"/>
          <w:sz w:val="18"/>
        </w:rPr>
        <w:t>Supply the installer service account and the local domain administrator credentials.</w:t>
      </w:r>
    </w:p>
    <w:p>
      <w:pPr>
        <w:spacing w:after="60"/>
        <w:ind w:left="461" w:hanging="461"/>
      </w:pPr>
      <w:r>
        <w:rPr>
          <w:b/>
          <w:color w:val="000000"/>
          <w:sz w:val="18"/>
        </w:rPr>
        <w:t xml:space="preserve">7.4  </w:t>
      </w:r>
      <w:r>
        <w:rPr>
          <w:color w:val="000000"/>
          <w:sz w:val="18"/>
        </w:rPr>
        <w:t>Install in this order: Connector Management, Identity Connector, Privileged Session Manager, then the dynamic access connector.</w:t>
      </w:r>
    </w:p>
    <w:p>
      <w:pPr>
        <w:spacing w:after="60"/>
        <w:ind w:left="461" w:hanging="461"/>
      </w:pPr>
      <w:r>
        <w:rPr>
          <w:b/>
          <w:color w:val="000000"/>
          <w:sz w:val="18"/>
        </w:rPr>
        <w:t xml:space="preserve">7.5  </w:t>
      </w:r>
      <w:r>
        <w:rPr>
          <w:color w:val="000000"/>
          <w:sz w:val="18"/>
        </w:rPr>
        <w:t>Install the rotation engine only once GEHA Security has confirmed its placement. Otherwise record it as deferred and move on.</w:t>
      </w:r>
    </w:p>
    <w:p>
      <w:pPr>
        <w:spacing w:after="60"/>
        <w:ind w:left="461" w:hanging="461"/>
      </w:pPr>
      <w:r>
        <w:rPr>
          <w:b/>
          <w:color w:val="000000"/>
          <w:sz w:val="18"/>
        </w:rPr>
        <w:t xml:space="preserve">7.6  </w:t>
      </w:r>
      <w:r>
        <w:rPr>
          <w:color w:val="000000"/>
          <w:sz w:val="18"/>
        </w:rPr>
        <w:t>Restart the server after the PSM installation.</w:t>
      </w:r>
    </w:p>
    <w:p>
      <w:pPr>
        <w:spacing w:after="60"/>
        <w:ind w:left="461" w:hanging="461"/>
      </w:pPr>
      <w:r>
        <w:rPr>
          <w:b/>
          <w:color w:val="000000"/>
          <w:sz w:val="18"/>
        </w:rPr>
        <w:t xml:space="preserve">7.7  </w:t>
      </w:r>
      <w:r>
        <w:rPr>
          <w:color w:val="000000"/>
          <w:sz w:val="18"/>
        </w:rPr>
        <w:t>Repeat 7.1 to 7.6 for the second connector. Sequentially — parallel installation across hosts is not supported. Keep both servers on the same PSM version.</w:t>
      </w:r>
    </w:p>
    <w:p>
      <w:r>
        <w:rPr>
          <w:b/>
          <w:i w:val="0"/>
          <w:color w:val="000000"/>
          <w:sz w:val="17"/>
        </w:rPr>
        <w:t>Then once, in the tenant:</w:t>
      </w:r>
    </w:p>
    <w:p>
      <w:pPr>
        <w:spacing w:after="60"/>
        <w:ind w:left="461" w:hanging="461"/>
      </w:pPr>
      <w:r>
        <w:rPr>
          <w:b/>
          <w:color w:val="000000"/>
          <w:sz w:val="18"/>
        </w:rPr>
        <w:t xml:space="preserve">7.8  </w:t>
      </w:r>
      <w:r>
        <w:rPr>
          <w:color w:val="000000"/>
          <w:sz w:val="18"/>
        </w:rPr>
        <w:t>Create the Configured PSM Servers entry for the Azure group by copying an existing entry, so that PSMProtocolVersion is retained. Set ID to the Azure group name and Address to</w:t>
      </w:r>
      <w:r>
        <w:rPr>
          <w:rFonts w:ascii="Consolas" w:hAnsi="Consolas"/>
          <w:color w:val="000000"/>
          <w:sz w:val="17"/>
        </w:rPr>
        <w:t xml:space="preserve"> cyberark-prd.geha.com</w:t>
      </w:r>
    </w:p>
    <w:p>
      <w:pPr>
        <w:spacing w:after="60"/>
        <w:ind w:left="461" w:hanging="461"/>
      </w:pPr>
      <w:r>
        <w:rPr>
          <w:b/>
          <w:color w:val="000000"/>
          <w:sz w:val="18"/>
        </w:rPr>
        <w:t xml:space="preserve">7.9  </w:t>
      </w:r>
      <w:r>
        <w:rPr>
          <w:color w:val="000000"/>
          <w:sz w:val="18"/>
        </w:rPr>
        <w:t>Clone the production Windows and Linux platforms for testing and set the Azure group ID under UI and Workflows, Privileged Session Management.</w:t>
      </w:r>
    </w:p>
    <w:p>
      <w:pPr>
        <w:keepNext/>
        <w:spacing w:before="180" w:after="60"/>
      </w:pPr>
      <w:r>
        <w:rPr>
          <w:b/>
          <w:color w:val="000000"/>
          <w:sz w:val="19"/>
        </w:rPr>
        <w:t>Watch for</w:t>
      </w:r>
    </w:p>
    <w:p>
      <w:r>
        <w:rPr>
          <w:b w:val="0"/>
          <w:i w:val="0"/>
          <w:color w:val="000000"/>
          <w:sz w:val="17"/>
        </w:rPr>
        <w:t>7.8 is the step people miss, and it is the one that makes routing work. Copying an existing entry rather than creating a new one is deliberate — a new entry loses PSMProtocolVersion and sessions fail in a way that looks like a network fault.</w:t>
      </w:r>
    </w:p>
    <w:p>
      <w:pPr>
        <w:keepNext/>
        <w:spacing w:before="280" w:after="120"/>
        <w:pBdr>
          <w:bottom w:val="single" w:sz="8" w:space="3" w:color="000000"/>
        </w:pBdr>
      </w:pPr>
      <w:r>
        <w:rPr>
          <w:b/>
          <w:color w:val="000000"/>
          <w:sz w:val="22"/>
        </w:rPr>
        <w:t>Step 8 — Security Hardening and GPO</w:t>
      </w:r>
    </w:p>
    <w:p>
      <w:r>
        <w:rPr>
          <w:b w:val="0"/>
          <w:i/>
          <w:color w:val="000000"/>
          <w:sz w:val="17"/>
        </w:rPr>
        <w:t>Purpose: lock the servers down to the supported configuration and prove they are serving.</w:t>
      </w:r>
    </w:p>
    <w:p>
      <w:pPr>
        <w:keepNext/>
        <w:spacing w:before="180" w:after="60"/>
      </w:pPr>
      <w:r>
        <w:rPr>
          <w:b/>
          <w:color w:val="000000"/>
          <w:sz w:val="19"/>
        </w:rPr>
        <w:t>Sequence</w:t>
      </w:r>
    </w:p>
    <w:p>
      <w:pPr>
        <w:spacing w:after="60"/>
        <w:ind w:left="461" w:hanging="461"/>
      </w:pPr>
      <w:r>
        <w:rPr>
          <w:b/>
          <w:color w:val="000000"/>
          <w:sz w:val="18"/>
        </w:rPr>
        <w:t xml:space="preserve">8.1  </w:t>
      </w:r>
      <w:r>
        <w:rPr>
          <w:color w:val="000000"/>
          <w:sz w:val="18"/>
        </w:rPr>
        <w:t>Import the CyberArk GPO hardening package into Domain Group Policy Management.</w:t>
      </w:r>
    </w:p>
    <w:p>
      <w:pPr>
        <w:spacing w:after="60"/>
        <w:ind w:left="461" w:hanging="461"/>
      </w:pPr>
      <w:r>
        <w:rPr>
          <w:b/>
          <w:color w:val="000000"/>
          <w:sz w:val="18"/>
        </w:rPr>
        <w:t xml:space="preserve">8.2  </w:t>
      </w:r>
      <w:r>
        <w:rPr>
          <w:color w:val="000000"/>
          <w:sz w:val="18"/>
        </w:rPr>
        <w:t>Link the policy exclusively to the organisational unit holding the connector computer accounts, and nowhere broader. It is restrictive by design.</w:t>
      </w:r>
    </w:p>
    <w:p>
      <w:pPr>
        <w:spacing w:after="60"/>
        <w:ind w:left="461" w:hanging="461"/>
      </w:pPr>
      <w:r>
        <w:rPr>
          <w:b/>
          <w:color w:val="000000"/>
          <w:sz w:val="18"/>
        </w:rPr>
        <w:t xml:space="preserve">8.3  </w:t>
      </w:r>
      <w:r>
        <w:rPr>
          <w:color w:val="000000"/>
          <w:sz w:val="18"/>
        </w:rPr>
        <w:t>Run the PSM hardening in the In Domain mode.</w:t>
      </w:r>
    </w:p>
    <w:p>
      <w:pPr>
        <w:spacing w:after="60"/>
        <w:ind w:left="461" w:hanging="461"/>
      </w:pPr>
      <w:r>
        <w:rPr>
          <w:b/>
          <w:color w:val="000000"/>
          <w:sz w:val="18"/>
        </w:rPr>
        <w:t xml:space="preserve">8.4  </w:t>
      </w:r>
      <w:r>
        <w:rPr>
          <w:color w:val="000000"/>
          <w:sz w:val="18"/>
        </w:rPr>
        <w:t>Run</w:t>
      </w:r>
      <w:r>
        <w:rPr>
          <w:rFonts w:ascii="Consolas" w:hAnsi="Consolas"/>
          <w:color w:val="000000"/>
          <w:sz w:val="17"/>
        </w:rPr>
        <w:t xml:space="preserve"> gpupdate /force</w:t>
      </w:r>
    </w:p>
    <w:p>
      <w:pPr>
        <w:spacing w:after="60"/>
        <w:ind w:left="461" w:hanging="461"/>
      </w:pPr>
      <w:r>
        <w:rPr>
          <w:b/>
          <w:color w:val="000000"/>
          <w:sz w:val="18"/>
        </w:rPr>
        <w:t xml:space="preserve">  </w:t>
      </w:r>
      <w:r>
        <w:rPr>
          <w:color w:val="000000"/>
          <w:sz w:val="18"/>
        </w:rPr>
        <w:t>on both connectors.</w:t>
      </w:r>
    </w:p>
    <w:p>
      <w:pPr>
        <w:spacing w:after="60"/>
        <w:ind w:left="461" w:hanging="461"/>
      </w:pPr>
      <w:r>
        <w:rPr>
          <w:b/>
          <w:color w:val="000000"/>
          <w:sz w:val="18"/>
        </w:rPr>
        <w:t xml:space="preserve">8.5  </w:t>
      </w:r>
      <w:r>
        <w:rPr>
          <w:color w:val="000000"/>
          <w:sz w:val="18"/>
        </w:rPr>
        <w:t>Confirm the result: AppLocker rules present for executables and DLLs; RDS SecurityLayer and MinEncryptionLevel set; SMB1 disabled.</w:t>
      </w:r>
    </w:p>
    <w:p>
      <w:pPr>
        <w:spacing w:after="60"/>
        <w:ind w:left="461" w:hanging="461"/>
      </w:pPr>
      <w:r>
        <w:rPr>
          <w:b/>
          <w:color w:val="000000"/>
          <w:sz w:val="18"/>
        </w:rPr>
        <w:t xml:space="preserve">8.6  </w:t>
      </w:r>
      <w:r>
        <w:rPr>
          <w:color w:val="000000"/>
          <w:sz w:val="18"/>
        </w:rPr>
        <w:t>Re-check both load balancer probes. If one reads unhealthy, the hardening has blocked the platform probe — add an inbound Windows firewall exception for 168.63.129.16 and record it against the build.</w:t>
      </w:r>
    </w:p>
    <w:p>
      <w:pPr>
        <w:spacing w:after="60"/>
        <w:ind w:left="461" w:hanging="461"/>
      </w:pPr>
      <w:r>
        <w:rPr>
          <w:b/>
          <w:color w:val="000000"/>
          <w:sz w:val="18"/>
        </w:rPr>
        <w:t xml:space="preserve">8.7  </w:t>
      </w:r>
      <w:r>
        <w:rPr>
          <w:color w:val="000000"/>
          <w:sz w:val="18"/>
        </w:rPr>
        <w:t>Bind the connector certificate to the session manager listener on port 443.</w:t>
      </w:r>
    </w:p>
    <w:p>
      <w:pPr>
        <w:spacing w:after="60"/>
        <w:ind w:left="461" w:hanging="461"/>
      </w:pPr>
      <w:r>
        <w:rPr>
          <w:b/>
          <w:color w:val="000000"/>
          <w:sz w:val="18"/>
        </w:rPr>
        <w:t xml:space="preserve">8.8  </w:t>
      </w:r>
      <w:r>
        <w:rPr>
          <w:color w:val="000000"/>
          <w:sz w:val="18"/>
        </w:rPr>
        <w:t>Confirm the health endpoint returns HTTP 200 from each server directly and through the load balancer name.</w:t>
      </w:r>
    </w:p>
    <w:p>
      <w:pPr>
        <w:spacing w:after="60"/>
        <w:ind w:left="461" w:hanging="461"/>
      </w:pPr>
      <w:r>
        <w:rPr>
          <w:b/>
          <w:color w:val="000000"/>
          <w:sz w:val="18"/>
        </w:rPr>
        <w:t xml:space="preserve">8.9  </w:t>
      </w:r>
      <w:r>
        <w:rPr>
          <w:color w:val="000000"/>
          <w:sz w:val="18"/>
        </w:rPr>
        <w:t>Re-enable endpoint protection with the CyberArk file and folder exclusions applied. This is last, not earlier — the hardening and installation must be complete first.</w:t>
      </w:r>
    </w:p>
    <w:p>
      <w:pPr>
        <w:keepNext/>
        <w:spacing w:before="180" w:after="60"/>
      </w:pPr>
      <w:r>
        <w:rPr>
          <w:b/>
          <w:color w:val="000000"/>
          <w:sz w:val="19"/>
        </w:rPr>
        <w:t>Watch for</w:t>
      </w:r>
    </w:p>
    <w:p>
      <w:r>
        <w:rPr>
          <w:b w:val="0"/>
          <w:i w:val="0"/>
          <w:color w:val="000000"/>
          <w:sz w:val="17"/>
        </w:rPr>
        <w:t>Green in Connector Management only means the agent can reach CyberArk. It says nothing about whether a session works. That is proven in Step 9, not here.</w:t>
      </w:r>
    </w:p>
    <w:p>
      <w:pPr>
        <w:keepNext/>
        <w:pageBreakBefore/>
        <w:spacing w:before="280" w:after="120"/>
        <w:pBdr>
          <w:bottom w:val="single" w:sz="8" w:space="3" w:color="000000"/>
        </w:pBdr>
      </w:pPr>
      <w:r>
        <w:rPr>
          <w:b/>
          <w:color w:val="000000"/>
          <w:sz w:val="22"/>
        </w:rPr>
        <w:t>Four points to raise in the meeting</w:t>
      </w:r>
    </w:p>
    <w:p>
      <w:r>
        <w:rPr>
          <w:b w:val="0"/>
          <w:i w:val="0"/>
          <w:color w:val="000000"/>
          <w:sz w:val="18"/>
        </w:rPr>
        <w:t>These came out of reading Steps 5 to 8 against the rest of the document. None is a blocker, but each will cause confusion if it is not settled before the build.</w:t>
      </w:r>
    </w:p>
    <w:tbl>
      <w:tblPr>
        <w:tblStyle w:val="TableGrid"/>
        <w:tblW w:type="auto" w:w="0"/>
        <w:tblLayout w:type="fixed"/>
        <w:tblLook w:firstColumn="1" w:firstRow="1" w:lastColumn="0" w:lastRow="0" w:noHBand="0" w:noVBand="1" w:val="04A0"/>
        <w:tblLayout w:type="fixed"/>
      </w:tblPr>
      <w:tblGrid>
        <w:gridCol w:w="432"/>
        <w:gridCol w:w="3384"/>
        <w:gridCol w:w="6408"/>
      </w:tblGrid>
      <w:tr>
        <w:tc>
          <w:tcPr>
            <w:tcW w:type="dxa" w:w="432"/>
            <w:vAlign w:val="center"/>
            <w:shd w:val="clear" w:color="auto" w:fill="D9D9D9"/>
          </w:tcPr>
          <w:p>
            <w:pPr>
              <w:spacing w:after="0" w:line="240" w:lineRule="auto"/>
            </w:pPr>
            <w:r>
              <w:rPr>
                <w:b/>
                <w:color w:val="000000"/>
                <w:sz w:val="17"/>
              </w:rPr>
              <w:t>#</w:t>
            </w:r>
          </w:p>
        </w:tc>
        <w:tc>
          <w:tcPr>
            <w:tcW w:type="dxa" w:w="3384"/>
            <w:vAlign w:val="center"/>
            <w:shd w:val="clear" w:color="auto" w:fill="D9D9D9"/>
          </w:tcPr>
          <w:p>
            <w:pPr>
              <w:spacing w:after="0" w:line="240" w:lineRule="auto"/>
            </w:pPr>
            <w:r>
              <w:rPr>
                <w:b/>
                <w:color w:val="000000"/>
                <w:sz w:val="17"/>
              </w:rPr>
              <w:t>Point</w:t>
            </w:r>
          </w:p>
        </w:tc>
        <w:tc>
          <w:tcPr>
            <w:tcW w:type="dxa" w:w="6408"/>
            <w:vAlign w:val="center"/>
            <w:shd w:val="clear" w:color="auto" w:fill="D9D9D9"/>
          </w:tcPr>
          <w:p>
            <w:pPr>
              <w:spacing w:after="0" w:line="240" w:lineRule="auto"/>
            </w:pPr>
            <w:r>
              <w:rPr>
                <w:b/>
                <w:color w:val="000000"/>
                <w:sz w:val="17"/>
              </w:rPr>
              <w:t>Why it matters</w:t>
            </w:r>
          </w:p>
        </w:tc>
      </w:tr>
      <w:tr>
        <w:tc>
          <w:tcPr>
            <w:tcW w:type="dxa" w:w="432"/>
            <w:vAlign w:val="center"/>
          </w:tcPr>
          <w:p>
            <w:pPr>
              <w:spacing w:after="0" w:line="245" w:lineRule="auto"/>
            </w:pPr>
            <w:r>
              <w:rPr>
                <w:b/>
                <w:color w:val="000000"/>
                <w:sz w:val="17"/>
              </w:rPr>
              <w:t>1</w:t>
            </w:r>
          </w:p>
        </w:tc>
        <w:tc>
          <w:tcPr>
            <w:tcW w:type="dxa" w:w="3384"/>
            <w:vAlign w:val="center"/>
          </w:tcPr>
          <w:p>
            <w:pPr>
              <w:spacing w:after="0" w:line="245" w:lineRule="auto"/>
            </w:pPr>
            <w:r>
              <w:rPr>
                <w:b w:val="0"/>
                <w:color w:val="000000"/>
                <w:sz w:val="17"/>
              </w:rPr>
              <w:t>Step 6 still says to sign in via Azure Bastion</w:t>
            </w:r>
          </w:p>
        </w:tc>
        <w:tc>
          <w:tcPr>
            <w:tcW w:type="dxa" w:w="6408"/>
            <w:vAlign w:val="center"/>
          </w:tcPr>
          <w:p>
            <w:pPr>
              <w:spacing w:after="0" w:line="245" w:lineRule="auto"/>
            </w:pPr>
            <w:r>
              <w:rPr>
                <w:b w:val="0"/>
                <w:color w:val="000000"/>
                <w:sz w:val="17"/>
              </w:rPr>
              <w:t>Section 1 of the same document now states administrative access is remote desktop from the GEHA administrative ranges over ExpressRoute. The two no longer agree. Confirm which applies and correct Step 6.</w:t>
            </w:r>
          </w:p>
        </w:tc>
      </w:tr>
      <w:tr>
        <w:tc>
          <w:tcPr>
            <w:tcW w:type="dxa" w:w="432"/>
            <w:vAlign w:val="center"/>
          </w:tcPr>
          <w:p>
            <w:pPr>
              <w:spacing w:after="0" w:line="245" w:lineRule="auto"/>
            </w:pPr>
            <w:r>
              <w:rPr>
                <w:b/>
                <w:color w:val="000000"/>
                <w:sz w:val="17"/>
              </w:rPr>
              <w:t>2</w:t>
            </w:r>
          </w:p>
        </w:tc>
        <w:tc>
          <w:tcPr>
            <w:tcW w:type="dxa" w:w="3384"/>
            <w:vAlign w:val="center"/>
          </w:tcPr>
          <w:p>
            <w:pPr>
              <w:spacing w:after="0" w:line="245" w:lineRule="auto"/>
            </w:pPr>
            <w:r>
              <w:rPr>
                <w:b w:val="0"/>
                <w:color w:val="000000"/>
                <w:sz w:val="17"/>
              </w:rPr>
              <w:t>The bullets in the document are not in execution order</w:t>
            </w:r>
          </w:p>
        </w:tc>
        <w:tc>
          <w:tcPr>
            <w:tcW w:type="dxa" w:w="6408"/>
            <w:vAlign w:val="center"/>
          </w:tcPr>
          <w:p>
            <w:pPr>
              <w:spacing w:after="0" w:line="245" w:lineRule="auto"/>
            </w:pPr>
            <w:r>
              <w:rPr>
                <w:b w:val="0"/>
                <w:color w:val="000000"/>
                <w:sz w:val="17"/>
              </w:rPr>
              <w:t>In Step 6 the two domain prerequisites are listed last but must happen first. In Step 8 re-enabling endpoint protection is listed before the hardening that must precede it. This blueprint reorders them; the source document should be reordered too.</w:t>
            </w:r>
          </w:p>
        </w:tc>
      </w:tr>
      <w:tr>
        <w:tc>
          <w:tcPr>
            <w:tcW w:type="dxa" w:w="432"/>
            <w:vAlign w:val="center"/>
          </w:tcPr>
          <w:p>
            <w:pPr>
              <w:spacing w:after="0" w:line="245" w:lineRule="auto"/>
            </w:pPr>
            <w:r>
              <w:rPr>
                <w:b/>
                <w:color w:val="000000"/>
                <w:sz w:val="17"/>
              </w:rPr>
              <w:t>3</w:t>
            </w:r>
          </w:p>
        </w:tc>
        <w:tc>
          <w:tcPr>
            <w:tcW w:type="dxa" w:w="3384"/>
            <w:vAlign w:val="center"/>
          </w:tcPr>
          <w:p>
            <w:pPr>
              <w:spacing w:after="0" w:line="245" w:lineRule="auto"/>
            </w:pPr>
            <w:r>
              <w:rPr>
                <w:b w:val="0"/>
                <w:color w:val="000000"/>
                <w:sz w:val="17"/>
              </w:rPr>
              <w:t>Step 7 states PSM and CPM installation, then defers CPM separately</w:t>
            </w:r>
          </w:p>
        </w:tc>
        <w:tc>
          <w:tcPr>
            <w:tcW w:type="dxa" w:w="6408"/>
            <w:vAlign w:val="center"/>
          </w:tcPr>
          <w:p>
            <w:pPr>
              <w:spacing w:after="0" w:line="245" w:lineRule="auto"/>
            </w:pPr>
            <w:r>
              <w:rPr>
                <w:b w:val="0"/>
                <w:color w:val="000000"/>
                <w:sz w:val="17"/>
              </w:rPr>
              <w:t>One bullet says to complete installation of the Session Manager and Rotation Engine; a later bullet says the rotation engine goes in only once Security confirms placement. The second is correct. The first should be reworded to avoid an engineer installing CPM prematurely.</w:t>
            </w:r>
          </w:p>
        </w:tc>
      </w:tr>
      <w:tr>
        <w:tc>
          <w:tcPr>
            <w:tcW w:type="dxa" w:w="432"/>
            <w:vAlign w:val="center"/>
          </w:tcPr>
          <w:p>
            <w:pPr>
              <w:spacing w:after="0" w:line="245" w:lineRule="auto"/>
            </w:pPr>
            <w:r>
              <w:rPr>
                <w:b/>
                <w:color w:val="000000"/>
                <w:sz w:val="17"/>
              </w:rPr>
              <w:t>4</w:t>
            </w:r>
          </w:p>
        </w:tc>
        <w:tc>
          <w:tcPr>
            <w:tcW w:type="dxa" w:w="3384"/>
            <w:vAlign w:val="center"/>
          </w:tcPr>
          <w:p>
            <w:pPr>
              <w:spacing w:after="0" w:line="245" w:lineRule="auto"/>
            </w:pPr>
            <w:r>
              <w:rPr>
                <w:b w:val="0"/>
                <w:color w:val="000000"/>
                <w:sz w:val="17"/>
              </w:rPr>
              <w:t>Load balancer probe configuration is not yet implementable as written</w:t>
            </w:r>
          </w:p>
        </w:tc>
        <w:tc>
          <w:tcPr>
            <w:tcW w:type="dxa" w:w="6408"/>
            <w:vAlign w:val="center"/>
          </w:tcPr>
          <w:p>
            <w:pPr>
              <w:spacing w:after="0" w:line="245" w:lineRule="auto"/>
            </w:pPr>
            <w:r>
              <w:rPr>
                <w:b w:val="0"/>
                <w:color w:val="000000"/>
                <w:sz w:val="17"/>
              </w:rPr>
              <w:t>Build Parameters Table 5 asks the rule to use both probes. Azure permits one probe per rule. A decision is needed on which probe gates traffic before Step 8.6 can be judged pass or fail.</w:t>
            </w:r>
          </w:p>
        </w:tc>
      </w:tr>
    </w:tbl>
    <w:p>
      <w:pPr>
        <w:spacing w:after="0"/>
      </w:pP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