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0000"/>
          <w:sz w:val="32"/>
        </w:rPr>
        <w:t>CyberArk PAS Execution Workflow</w:t>
      </w:r>
    </w:p>
    <w:p>
      <w:pPr>
        <w:spacing w:after="280"/>
      </w:pPr>
      <w:r>
        <w:rPr>
          <w:color w:val="000000"/>
          <w:sz w:val="22"/>
        </w:rPr>
        <w:t>Schedule of Changes applied from the revised Playbook</w:t>
      </w:r>
    </w:p>
    <w:tbl>
      <w:tblPr>
        <w:tblStyle w:val="TableGrid"/>
        <w:tblW w:type="auto" w:w="0"/>
        <w:tblLayout w:type="fixed"/>
        <w:tblLook w:firstColumn="1" w:firstRow="1" w:lastColumn="0" w:lastRow="0" w:noHBand="0" w:noVBand="1" w:val="04A0"/>
      </w:tblPr>
      <w:tblGrid>
        <w:gridCol w:w="4680"/>
        <w:gridCol w:w="4680"/>
      </w:tblGrid>
      <w:tr>
        <w:tc>
          <w:tcPr>
            <w:tcW w:type="dxa" w:w="2160"/>
            <w:vAlign w:val="center"/>
            <w:shd w:val="clear" w:color="auto" w:fill="D9D9D9"/>
          </w:tcPr>
          <w:p>
            <w:pPr>
              <w:spacing w:after="0"/>
            </w:pPr>
            <w:r>
              <w:rPr>
                <w:b/>
                <w:color w:val="000000"/>
                <w:sz w:val="18"/>
              </w:rPr>
              <w:t>Field</w:t>
            </w:r>
          </w:p>
        </w:tc>
        <w:tc>
          <w:tcPr>
            <w:tcW w:type="dxa" w:w="7200"/>
            <w:vAlign w:val="center"/>
            <w:shd w:val="clear" w:color="auto" w:fill="D9D9D9"/>
          </w:tcPr>
          <w:p>
            <w:pPr>
              <w:spacing w:after="0"/>
            </w:pPr>
            <w:r>
              <w:rPr>
                <w:b/>
                <w:color w:val="000000"/>
                <w:sz w:val="18"/>
              </w:rPr>
              <w:t>Detail</w:t>
            </w:r>
          </w:p>
        </w:tc>
      </w:tr>
      <w:tr>
        <w:tc>
          <w:tcPr>
            <w:tcW w:type="dxa" w:w="2160"/>
            <w:vAlign w:val="center"/>
          </w:tcPr>
          <w:p>
            <w:pPr>
              <w:spacing w:after="0"/>
            </w:pPr>
            <w:r>
              <w:rPr>
                <w:b/>
                <w:color w:val="000000"/>
                <w:sz w:val="18"/>
              </w:rPr>
              <w:t>Document updated</w:t>
            </w:r>
          </w:p>
        </w:tc>
        <w:tc>
          <w:tcPr>
            <w:tcW w:type="dxa" w:w="7200"/>
            <w:vAlign w:val="center"/>
          </w:tcPr>
          <w:p>
            <w:pPr>
              <w:spacing w:after="0"/>
            </w:pPr>
            <w:r>
              <w:rPr>
                <w:b w:val="0"/>
                <w:color w:val="000000"/>
                <w:sz w:val="18"/>
              </w:rPr>
              <w:t>CyberArk PAS Datacenter to Azure Migration: Execution Workflow (v0.1)</w:t>
            </w:r>
          </w:p>
        </w:tc>
      </w:tr>
      <w:tr>
        <w:tc>
          <w:tcPr>
            <w:tcW w:type="dxa" w:w="2160"/>
            <w:vAlign w:val="center"/>
          </w:tcPr>
          <w:p>
            <w:pPr>
              <w:spacing w:after="0"/>
            </w:pPr>
            <w:r>
              <w:rPr>
                <w:b/>
                <w:color w:val="000000"/>
                <w:sz w:val="18"/>
              </w:rPr>
              <w:t>Source</w:t>
            </w:r>
          </w:p>
        </w:tc>
        <w:tc>
          <w:tcPr>
            <w:tcW w:type="dxa" w:w="7200"/>
            <w:vAlign w:val="center"/>
          </w:tcPr>
          <w:p>
            <w:pPr>
              <w:spacing w:after="0"/>
            </w:pPr>
            <w:r>
              <w:rPr>
                <w:b w:val="0"/>
                <w:color w:val="000000"/>
                <w:sz w:val="18"/>
              </w:rPr>
              <w:t>CyberArk PAS Application Migration Playbook v0.1, including the embedded Post-Migration Test and Validation Plan v1.1 of 23-Sep-2026</w:t>
            </w:r>
          </w:p>
        </w:tc>
      </w:tr>
      <w:tr>
        <w:tc>
          <w:tcPr>
            <w:tcW w:type="dxa" w:w="2160"/>
            <w:vAlign w:val="center"/>
          </w:tcPr>
          <w:p>
            <w:pPr>
              <w:spacing w:after="0"/>
            </w:pPr>
            <w:r>
              <w:rPr>
                <w:b/>
                <w:color w:val="000000"/>
                <w:sz w:val="18"/>
              </w:rPr>
              <w:t>Basis quoted in source</w:t>
            </w:r>
          </w:p>
        </w:tc>
        <w:tc>
          <w:tcPr>
            <w:tcW w:type="dxa" w:w="7200"/>
            <w:vAlign w:val="center"/>
          </w:tcPr>
          <w:p>
            <w:pPr>
              <w:spacing w:after="0"/>
            </w:pPr>
            <w:r>
              <w:rPr>
                <w:b w:val="0"/>
                <w:color w:val="000000"/>
                <w:sz w:val="18"/>
              </w:rPr>
              <w:t>Azure Future State Design v2.9; Network Data Flows v3.1; Azure Build Parameters v3.2</w:t>
            </w:r>
          </w:p>
        </w:tc>
      </w:tr>
      <w:tr>
        <w:tc>
          <w:tcPr>
            <w:tcW w:type="dxa" w:w="2160"/>
            <w:vAlign w:val="center"/>
          </w:tcPr>
          <w:p>
            <w:pPr>
              <w:spacing w:after="0"/>
            </w:pPr>
            <w:r>
              <w:rPr>
                <w:b/>
                <w:color w:val="000000"/>
                <w:sz w:val="18"/>
              </w:rPr>
              <w:t>Changes applied</w:t>
            </w:r>
          </w:p>
        </w:tc>
        <w:tc>
          <w:tcPr>
            <w:tcW w:type="dxa" w:w="7200"/>
            <w:vAlign w:val="center"/>
          </w:tcPr>
          <w:p>
            <w:pPr>
              <w:spacing w:after="0"/>
            </w:pPr>
            <w:r>
              <w:rPr>
                <w:b w:val="0"/>
                <w:color w:val="000000"/>
                <w:sz w:val="18"/>
              </w:rPr>
              <w:t>20 (5 values corrected, 15 additions)</w:t>
            </w:r>
          </w:p>
        </w:tc>
      </w:tr>
      <w:tr>
        <w:tc>
          <w:tcPr>
            <w:tcW w:type="dxa" w:w="2160"/>
            <w:vAlign w:val="center"/>
          </w:tcPr>
          <w:p>
            <w:pPr>
              <w:spacing w:after="0"/>
            </w:pPr>
            <w:r>
              <w:rPr>
                <w:b/>
                <w:color w:val="000000"/>
                <w:sz w:val="18"/>
              </w:rPr>
              <w:t>Length</w:t>
            </w:r>
          </w:p>
        </w:tc>
        <w:tc>
          <w:tcPr>
            <w:tcW w:type="dxa" w:w="7200"/>
            <w:vAlign w:val="center"/>
          </w:tcPr>
          <w:p>
            <w:pPr>
              <w:spacing w:after="0"/>
            </w:pPr>
            <w:r>
              <w:rPr>
                <w:b w:val="0"/>
                <w:color w:val="000000"/>
                <w:sz w:val="18"/>
              </w:rPr>
              <w:t>11 pages to 16 pages</w:t>
            </w:r>
          </w:p>
        </w:tc>
      </w:tr>
      <w:tr>
        <w:tc>
          <w:tcPr>
            <w:tcW w:type="dxa" w:w="2160"/>
            <w:vAlign w:val="center"/>
          </w:tcPr>
          <w:p>
            <w:pPr>
              <w:spacing w:after="0"/>
            </w:pPr>
            <w:r>
              <w:rPr>
                <w:b/>
                <w:color w:val="000000"/>
                <w:sz w:val="18"/>
              </w:rPr>
              <w:t>Prepared by</w:t>
            </w:r>
          </w:p>
        </w:tc>
        <w:tc>
          <w:tcPr>
            <w:tcW w:type="dxa" w:w="7200"/>
            <w:vAlign w:val="center"/>
          </w:tcPr>
          <w:p>
            <w:pPr>
              <w:spacing w:after="0"/>
            </w:pPr>
            <w:r>
              <w:rPr>
                <w:b w:val="0"/>
                <w:color w:val="000000"/>
                <w:sz w:val="18"/>
              </w:rPr>
              <w:t>Saikat Majumdar, Citius Healthcare Consulting</w:t>
            </w:r>
          </w:p>
        </w:tc>
      </w:tr>
      <w:tr>
        <w:tc>
          <w:tcPr>
            <w:tcW w:type="dxa" w:w="2160"/>
            <w:vAlign w:val="center"/>
          </w:tcPr>
          <w:p>
            <w:pPr>
              <w:spacing w:after="0"/>
            </w:pPr>
            <w:r>
              <w:rPr>
                <w:b/>
                <w:color w:val="000000"/>
                <w:sz w:val="18"/>
              </w:rPr>
              <w:t>Date</w:t>
            </w:r>
          </w:p>
        </w:tc>
        <w:tc>
          <w:tcPr>
            <w:tcW w:type="dxa" w:w="7200"/>
            <w:vAlign w:val="center"/>
          </w:tcPr>
          <w:p>
            <w:pPr>
              <w:spacing w:after="0"/>
            </w:pPr>
            <w:r>
              <w:rPr>
                <w:b w:val="0"/>
                <w:color w:val="000000"/>
                <w:sz w:val="18"/>
              </w:rPr>
              <w:t>24-Sep-2026</w:t>
            </w:r>
          </w:p>
        </w:tc>
      </w:tr>
    </w:tbl>
    <w:p>
      <w:pPr>
        <w:spacing w:after="80"/>
      </w:pPr>
    </w:p>
    <w:p>
      <w:pPr>
        <w:keepNext/>
        <w:spacing w:before="360" w:after="160"/>
        <w:pBdr>
          <w:bottom w:val="single" w:sz="8" w:space="4" w:color="000000"/>
        </w:pBdr>
      </w:pPr>
      <w:r>
        <w:rPr>
          <w:b/>
          <w:color w:val="000000"/>
          <w:sz w:val="22"/>
        </w:rPr>
        <w:t>1. How to read this</w:t>
      </w:r>
    </w:p>
    <w:p>
      <w:r>
        <w:rPr>
          <w:b w:val="0"/>
          <w:color w:val="000000"/>
          <w:sz w:val="18"/>
        </w:rPr>
        <w:t>Every entry names the section it lands in and the line it follows, so each change can be found and checked against the workflow document. Only execution content has been taken across: parameters an engineer applies, steps an engineer performs, and criteria an engineer tests against. Design narrative and rationale have been left in the playbook.</w:t>
      </w:r>
    </w:p>
    <w:p>
      <w:r>
        <w:rPr>
          <w:b w:val="0"/>
          <w:color w:val="000000"/>
          <w:sz w:val="18"/>
        </w:rPr>
        <w:t>Font, size and colour are unchanged throughout: Aptos 9pt body text, 11pt bold headings, all black. New tables and bullets reuse the existing styles.</w:t>
      </w:r>
    </w:p>
    <w:p>
      <w:pPr>
        <w:keepNext/>
        <w:spacing w:before="360" w:after="160"/>
        <w:pBdr>
          <w:bottom w:val="single" w:sz="8" w:space="4" w:color="000000"/>
        </w:pBdr>
      </w:pPr>
      <w:r>
        <w:rPr>
          <w:b/>
          <w:color w:val="000000"/>
          <w:sz w:val="22"/>
        </w:rPr>
        <w:t>2. Values corrected</w:t>
      </w:r>
    </w:p>
    <w:p>
      <w:r>
        <w:rPr>
          <w:b w:val="0"/>
          <w:color w:val="000000"/>
          <w:sz w:val="18"/>
        </w:rPr>
        <w:t>These five values in the workflow no longer matched the revised playbook. Each was replaced in place.</w:t>
      </w:r>
    </w:p>
    <w:tbl>
      <w:tblPr>
        <w:tblStyle w:val="TableGrid"/>
        <w:tblW w:type="auto" w:w="0"/>
        <w:tblLayout w:type="fixed"/>
        <w:tblLook w:firstColumn="1" w:firstRow="1" w:lastColumn="0" w:lastRow="0" w:noHBand="0" w:noVBand="1" w:val="04A0"/>
      </w:tblPr>
      <w:tblGrid>
        <w:gridCol w:w="3120"/>
        <w:gridCol w:w="3120"/>
        <w:gridCol w:w="3120"/>
      </w:tblGrid>
      <w:tr>
        <w:tc>
          <w:tcPr>
            <w:tcW w:type="dxa" w:w="2016"/>
            <w:vAlign w:val="center"/>
            <w:shd w:val="clear" w:color="auto" w:fill="D9D9D9"/>
          </w:tcPr>
          <w:p>
            <w:pPr>
              <w:spacing w:after="0"/>
            </w:pPr>
            <w:r>
              <w:rPr>
                <w:b/>
                <w:color w:val="000000"/>
                <w:sz w:val="18"/>
              </w:rPr>
              <w:t>Item</w:t>
            </w:r>
          </w:p>
        </w:tc>
        <w:tc>
          <w:tcPr>
            <w:tcW w:type="dxa" w:w="3168"/>
            <w:vAlign w:val="center"/>
            <w:shd w:val="clear" w:color="auto" w:fill="D9D9D9"/>
          </w:tcPr>
          <w:p>
            <w:pPr>
              <w:spacing w:after="0"/>
            </w:pPr>
            <w:r>
              <w:rPr>
                <w:b/>
                <w:color w:val="000000"/>
                <w:sz w:val="18"/>
              </w:rPr>
              <w:t>Was</w:t>
            </w:r>
          </w:p>
        </w:tc>
        <w:tc>
          <w:tcPr>
            <w:tcW w:type="dxa" w:w="4176"/>
            <w:vAlign w:val="center"/>
            <w:shd w:val="clear" w:color="auto" w:fill="D9D9D9"/>
          </w:tcPr>
          <w:p>
            <w:pPr>
              <w:spacing w:after="0"/>
            </w:pPr>
            <w:r>
              <w:rPr>
                <w:b/>
                <w:color w:val="000000"/>
                <w:sz w:val="18"/>
              </w:rPr>
              <w:t>Now</w:t>
            </w:r>
          </w:p>
        </w:tc>
      </w:tr>
      <w:tr>
        <w:tc>
          <w:tcPr>
            <w:tcW w:type="dxa" w:w="2016"/>
            <w:vAlign w:val="center"/>
          </w:tcPr>
          <w:p>
            <w:pPr>
              <w:spacing w:after="0"/>
            </w:pPr>
            <w:r>
              <w:rPr>
                <w:b/>
                <w:color w:val="000000"/>
                <w:sz w:val="18"/>
              </w:rPr>
              <w:t>Subnet names</w:t>
            </w:r>
          </w:p>
        </w:tc>
        <w:tc>
          <w:tcPr>
            <w:tcW w:type="dxa" w:w="3168"/>
            <w:vAlign w:val="center"/>
          </w:tcPr>
          <w:p>
            <w:pPr>
              <w:spacing w:after="0"/>
            </w:pPr>
            <w:r>
              <w:rPr>
                <w:b w:val="0"/>
                <w:color w:val="000000"/>
                <w:sz w:val="18"/>
              </w:rPr>
              <w:t>snet-cyberark-cus-prd-01 / dev-01</w:t>
            </w:r>
          </w:p>
        </w:tc>
        <w:tc>
          <w:tcPr>
            <w:tcW w:type="dxa" w:w="4176"/>
            <w:vAlign w:val="center"/>
          </w:tcPr>
          <w:p>
            <w:pPr>
              <w:spacing w:after="0"/>
            </w:pPr>
            <w:r>
              <w:rPr>
                <w:b w:val="0"/>
                <w:color w:val="000000"/>
                <w:sz w:val="18"/>
              </w:rPr>
              <w:t>snet-sec-cyberark-cus-prd-01 / dev-01</w:t>
            </w:r>
          </w:p>
        </w:tc>
      </w:tr>
      <w:tr>
        <w:tc>
          <w:tcPr>
            <w:tcW w:type="dxa" w:w="2016"/>
            <w:vAlign w:val="center"/>
          </w:tcPr>
          <w:p>
            <w:pPr>
              <w:spacing w:after="0"/>
            </w:pPr>
            <w:r>
              <w:rPr>
                <w:b/>
                <w:color w:val="000000"/>
                <w:sz w:val="18"/>
              </w:rPr>
              <w:t>Administrative access</w:t>
            </w:r>
          </w:p>
        </w:tc>
        <w:tc>
          <w:tcPr>
            <w:tcW w:type="dxa" w:w="3168"/>
            <w:vAlign w:val="center"/>
          </w:tcPr>
          <w:p>
            <w:pPr>
              <w:spacing w:after="0"/>
            </w:pPr>
            <w:r>
              <w:rPr>
                <w:b w:val="0"/>
                <w:color w:val="000000"/>
                <w:sz w:val="18"/>
              </w:rPr>
              <w:t>Azure Bastion exclusive access</w:t>
            </w:r>
          </w:p>
        </w:tc>
        <w:tc>
          <w:tcPr>
            <w:tcW w:type="dxa" w:w="4176"/>
            <w:vAlign w:val="center"/>
          </w:tcPr>
          <w:p>
            <w:pPr>
              <w:spacing w:after="0"/>
            </w:pPr>
            <w:r>
              <w:rPr>
                <w:b w:val="0"/>
                <w:color w:val="000000"/>
                <w:sz w:val="18"/>
              </w:rPr>
              <w:t>Remote desktop from the GEHA administrative address ranges over ExpressRoute</w:t>
            </w:r>
          </w:p>
        </w:tc>
      </w:tr>
      <w:tr>
        <w:tc>
          <w:tcPr>
            <w:tcW w:type="dxa" w:w="2016"/>
            <w:vAlign w:val="center"/>
          </w:tcPr>
          <w:p>
            <w:pPr>
              <w:spacing w:after="0"/>
            </w:pPr>
            <w:r>
              <w:rPr>
                <w:b/>
                <w:color w:val="000000"/>
                <w:sz w:val="18"/>
              </w:rPr>
              <w:t>Session persistence</w:t>
            </w:r>
          </w:p>
        </w:tc>
        <w:tc>
          <w:tcPr>
            <w:tcW w:type="dxa" w:w="3168"/>
            <w:vAlign w:val="center"/>
          </w:tcPr>
          <w:p>
            <w:pPr>
              <w:spacing w:after="0"/>
            </w:pPr>
            <w:r>
              <w:rPr>
                <w:b w:val="0"/>
                <w:color w:val="000000"/>
                <w:sz w:val="18"/>
              </w:rPr>
              <w:t>Client IP (Direct Server Return disabled)</w:t>
            </w:r>
          </w:p>
        </w:tc>
        <w:tc>
          <w:tcPr>
            <w:tcW w:type="dxa" w:w="4176"/>
            <w:vAlign w:val="center"/>
          </w:tcPr>
          <w:p>
            <w:pPr>
              <w:spacing w:after="0"/>
            </w:pPr>
            <w:r>
              <w:rPr>
                <w:b w:val="0"/>
                <w:color w:val="000000"/>
                <w:sz w:val="18"/>
              </w:rPr>
              <w:t>None. Distribution by the platform default five tuple hash</w:t>
            </w:r>
          </w:p>
        </w:tc>
      </w:tr>
      <w:tr>
        <w:tc>
          <w:tcPr>
            <w:tcW w:type="dxa" w:w="2016"/>
            <w:vAlign w:val="center"/>
          </w:tcPr>
          <w:p>
            <w:pPr>
              <w:spacing w:after="0"/>
            </w:pPr>
            <w:r>
              <w:rPr>
                <w:b/>
                <w:color w:val="000000"/>
                <w:sz w:val="18"/>
              </w:rPr>
              <w:t>Health probe</w:t>
            </w:r>
          </w:p>
        </w:tc>
        <w:tc>
          <w:tcPr>
            <w:tcW w:type="dxa" w:w="3168"/>
            <w:vAlign w:val="center"/>
          </w:tcPr>
          <w:p>
            <w:pPr>
              <w:spacing w:after="0"/>
            </w:pPr>
            <w:r>
              <w:rPr>
                <w:b w:val="0"/>
                <w:color w:val="000000"/>
                <w:sz w:val="18"/>
              </w:rPr>
              <w:t>TCP 3389, interval 5s, threshold 2</w:t>
            </w:r>
          </w:p>
        </w:tc>
        <w:tc>
          <w:tcPr>
            <w:tcW w:type="dxa" w:w="4176"/>
            <w:vAlign w:val="center"/>
          </w:tcPr>
          <w:p>
            <w:pPr>
              <w:spacing w:after="0"/>
            </w:pPr>
            <w:r>
              <w:rPr>
                <w:b w:val="0"/>
                <w:color w:val="000000"/>
                <w:sz w:val="18"/>
              </w:rPr>
              <w:t>Two probes: TCP 3389 and the session manager health endpoint on HTTPS 443, interval 30s, threshold 3</w:t>
            </w:r>
          </w:p>
        </w:tc>
      </w:tr>
      <w:tr>
        <w:tc>
          <w:tcPr>
            <w:tcW w:type="dxa" w:w="2016"/>
            <w:vAlign w:val="center"/>
          </w:tcPr>
          <w:p>
            <w:pPr>
              <w:spacing w:after="0"/>
            </w:pPr>
            <w:r>
              <w:rPr>
                <w:b/>
                <w:color w:val="000000"/>
                <w:sz w:val="18"/>
              </w:rPr>
              <w:t>Idle timeout</w:t>
            </w:r>
          </w:p>
        </w:tc>
        <w:tc>
          <w:tcPr>
            <w:tcW w:type="dxa" w:w="3168"/>
            <w:vAlign w:val="center"/>
          </w:tcPr>
          <w:p>
            <w:pPr>
              <w:spacing w:after="0"/>
            </w:pPr>
            <w:r>
              <w:rPr>
                <w:b w:val="0"/>
                <w:color w:val="000000"/>
                <w:sz w:val="18"/>
              </w:rPr>
              <w:t>30 Minutes</w:t>
            </w:r>
          </w:p>
        </w:tc>
        <w:tc>
          <w:tcPr>
            <w:tcW w:type="dxa" w:w="4176"/>
            <w:vAlign w:val="center"/>
          </w:tcPr>
          <w:p>
            <w:pPr>
              <w:spacing w:after="0"/>
            </w:pPr>
            <w:r>
              <w:rPr>
                <w:b w:val="0"/>
                <w:color w:val="000000"/>
                <w:sz w:val="18"/>
              </w:rPr>
              <w:t>1200 seconds</w:t>
            </w:r>
          </w:p>
        </w:tc>
      </w:tr>
    </w:tbl>
    <w:p>
      <w:pPr>
        <w:spacing w:after="80"/>
      </w:pPr>
    </w:p>
    <w:p>
      <w:r>
        <w:br w:type="page"/>
      </w:r>
    </w:p>
    <w:p>
      <w:pPr>
        <w:keepNext/>
        <w:spacing w:before="0" w:after="160"/>
        <w:pBdr>
          <w:bottom w:val="single" w:sz="8" w:space="4" w:color="000000"/>
        </w:pBdr>
      </w:pPr>
      <w:r>
        <w:rPr>
          <w:b/>
          <w:color w:val="000000"/>
          <w:sz w:val="22"/>
        </w:rPr>
        <w:t>3. Change register</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648"/>
            <w:vAlign w:val="center"/>
            <w:shd w:val="clear" w:color="auto" w:fill="D9D9D9"/>
          </w:tcPr>
          <w:p>
            <w:pPr>
              <w:spacing w:after="0"/>
            </w:pPr>
            <w:r>
              <w:rPr>
                <w:b/>
                <w:color w:val="000000"/>
                <w:sz w:val="18"/>
              </w:rPr>
              <w:t>Ref</w:t>
            </w:r>
          </w:p>
        </w:tc>
        <w:tc>
          <w:tcPr>
            <w:tcW w:type="dxa" w:w="2520"/>
            <w:vAlign w:val="center"/>
            <w:shd w:val="clear" w:color="auto" w:fill="D9D9D9"/>
          </w:tcPr>
          <w:p>
            <w:pPr>
              <w:spacing w:after="0"/>
            </w:pPr>
            <w:r>
              <w:rPr>
                <w:b/>
                <w:color w:val="000000"/>
                <w:sz w:val="18"/>
              </w:rPr>
              <w:t>Where it went</w:t>
            </w:r>
          </w:p>
        </w:tc>
        <w:tc>
          <w:tcPr>
            <w:tcW w:type="dxa" w:w="4608"/>
            <w:vAlign w:val="center"/>
            <w:shd w:val="clear" w:color="auto" w:fill="D9D9D9"/>
          </w:tcPr>
          <w:p>
            <w:pPr>
              <w:spacing w:after="0"/>
            </w:pPr>
            <w:r>
              <w:rPr>
                <w:b/>
                <w:color w:val="000000"/>
                <w:sz w:val="18"/>
              </w:rPr>
              <w:t>What was added or changed</w:t>
            </w:r>
          </w:p>
        </w:tc>
        <w:tc>
          <w:tcPr>
            <w:tcW w:type="dxa" w:w="1584"/>
            <w:vAlign w:val="center"/>
            <w:shd w:val="clear" w:color="auto" w:fill="D9D9D9"/>
          </w:tcPr>
          <w:p>
            <w:pPr>
              <w:spacing w:after="0"/>
            </w:pPr>
            <w:r>
              <w:rPr>
                <w:b/>
                <w:color w:val="000000"/>
                <w:sz w:val="18"/>
              </w:rPr>
              <w:t>Source</w:t>
            </w:r>
          </w:p>
        </w:tc>
      </w:tr>
      <w:tr>
        <w:tc>
          <w:tcPr>
            <w:tcW w:type="dxa" w:w="648"/>
            <w:vAlign w:val="center"/>
          </w:tcPr>
          <w:p>
            <w:pPr>
              <w:spacing w:after="0"/>
            </w:pPr>
            <w:r>
              <w:rPr>
                <w:b/>
                <w:color w:val="000000"/>
                <w:sz w:val="18"/>
              </w:rPr>
              <w:t>C-01</w:t>
            </w:r>
          </w:p>
        </w:tc>
        <w:tc>
          <w:tcPr>
            <w:tcW w:type="dxa" w:w="2520"/>
            <w:vAlign w:val="center"/>
          </w:tcPr>
          <w:p>
            <w:pPr>
              <w:spacing w:after="0"/>
            </w:pPr>
            <w:r>
              <w:rPr>
                <w:b w:val="0"/>
                <w:color w:val="000000"/>
                <w:sz w:val="18"/>
              </w:rPr>
              <w:t>Section 1, Future State Specifications table, row Subnet Allocations</w:t>
            </w:r>
          </w:p>
        </w:tc>
        <w:tc>
          <w:tcPr>
            <w:tcW w:type="dxa" w:w="4608"/>
            <w:vAlign w:val="center"/>
          </w:tcPr>
          <w:p>
            <w:pPr>
              <w:spacing w:after="0"/>
            </w:pPr>
            <w:r>
              <w:rPr>
                <w:b w:val="0"/>
                <w:color w:val="000000"/>
                <w:sz w:val="18"/>
              </w:rPr>
              <w:t>Subnet names corrected to the sec form</w:t>
            </w:r>
          </w:p>
        </w:tc>
        <w:tc>
          <w:tcPr>
            <w:tcW w:type="dxa" w:w="1584"/>
            <w:vAlign w:val="center"/>
          </w:tcPr>
          <w:p>
            <w:pPr>
              <w:spacing w:after="0"/>
            </w:pPr>
            <w:r>
              <w:rPr>
                <w:b w:val="0"/>
                <w:color w:val="000000"/>
                <w:sz w:val="18"/>
              </w:rPr>
              <w:t>Playbook 5.6</w:t>
            </w:r>
          </w:p>
        </w:tc>
      </w:tr>
      <w:tr>
        <w:tc>
          <w:tcPr>
            <w:tcW w:type="dxa" w:w="648"/>
            <w:vAlign w:val="center"/>
          </w:tcPr>
          <w:p>
            <w:pPr>
              <w:spacing w:after="0"/>
            </w:pPr>
            <w:r>
              <w:rPr>
                <w:b/>
                <w:color w:val="000000"/>
                <w:sz w:val="18"/>
              </w:rPr>
              <w:t>C-02</w:t>
            </w:r>
          </w:p>
        </w:tc>
        <w:tc>
          <w:tcPr>
            <w:tcW w:type="dxa" w:w="2520"/>
            <w:vAlign w:val="center"/>
          </w:tcPr>
          <w:p>
            <w:pPr>
              <w:spacing w:after="0"/>
            </w:pPr>
            <w:r>
              <w:rPr>
                <w:b w:val="0"/>
                <w:color w:val="000000"/>
                <w:sz w:val="18"/>
              </w:rPr>
              <w:t>Section 1, Future State Specifications table, row Administrative Access</w:t>
            </w:r>
          </w:p>
        </w:tc>
        <w:tc>
          <w:tcPr>
            <w:tcW w:type="dxa" w:w="4608"/>
            <w:vAlign w:val="center"/>
          </w:tcPr>
          <w:p>
            <w:pPr>
              <w:spacing w:after="0"/>
            </w:pPr>
            <w:r>
              <w:rPr>
                <w:b w:val="0"/>
                <w:color w:val="000000"/>
                <w:sz w:val="18"/>
              </w:rPr>
              <w:t>Administrative access model changed from Azure Bastion to remote desktop from the administrative ranges</w:t>
            </w:r>
          </w:p>
        </w:tc>
        <w:tc>
          <w:tcPr>
            <w:tcW w:type="dxa" w:w="1584"/>
            <w:vAlign w:val="center"/>
          </w:tcPr>
          <w:p>
            <w:pPr>
              <w:spacing w:after="0"/>
            </w:pPr>
            <w:r>
              <w:rPr>
                <w:b w:val="0"/>
                <w:color w:val="000000"/>
                <w:sz w:val="18"/>
              </w:rPr>
              <w:t>Playbook 5.7; case B-09</w:t>
            </w:r>
          </w:p>
        </w:tc>
      </w:tr>
      <w:tr>
        <w:tc>
          <w:tcPr>
            <w:tcW w:type="dxa" w:w="648"/>
            <w:vAlign w:val="center"/>
          </w:tcPr>
          <w:p>
            <w:pPr>
              <w:spacing w:after="0"/>
            </w:pPr>
            <w:r>
              <w:rPr>
                <w:b/>
                <w:color w:val="000000"/>
                <w:sz w:val="18"/>
              </w:rPr>
              <w:t>C-03</w:t>
            </w:r>
          </w:p>
        </w:tc>
        <w:tc>
          <w:tcPr>
            <w:tcW w:type="dxa" w:w="2520"/>
            <w:vAlign w:val="center"/>
          </w:tcPr>
          <w:p>
            <w:pPr>
              <w:spacing w:after="0"/>
            </w:pPr>
            <w:r>
              <w:rPr>
                <w:b w:val="0"/>
                <w:color w:val="000000"/>
                <w:sz w:val="18"/>
              </w:rPr>
              <w:t>Section 1, Future State Specifications table, four rows after Administrative Access</w:t>
            </w:r>
          </w:p>
        </w:tc>
        <w:tc>
          <w:tcPr>
            <w:tcW w:type="dxa" w:w="4608"/>
            <w:vAlign w:val="center"/>
          </w:tcPr>
          <w:p>
            <w:pPr>
              <w:spacing w:after="0"/>
            </w:pPr>
            <w:r>
              <w:rPr>
                <w:b w:val="0"/>
                <w:color w:val="000000"/>
                <w:sz w:val="18"/>
              </w:rPr>
              <w:t>Connector Host Names (AZPASPCCPRD101 and 102); Network Security Group; Backup (Cohesity); Disaster Recovery (Site Recovery to East US 2)</w:t>
            </w:r>
          </w:p>
        </w:tc>
        <w:tc>
          <w:tcPr>
            <w:tcW w:type="dxa" w:w="1584"/>
            <w:vAlign w:val="center"/>
          </w:tcPr>
          <w:p>
            <w:pPr>
              <w:spacing w:after="0"/>
            </w:pPr>
            <w:r>
              <w:rPr>
                <w:b w:val="0"/>
                <w:color w:val="000000"/>
                <w:sz w:val="18"/>
              </w:rPr>
              <w:t>Test plan 1; Playbook 5.6, 5.9</w:t>
            </w:r>
          </w:p>
        </w:tc>
      </w:tr>
      <w:tr>
        <w:tc>
          <w:tcPr>
            <w:tcW w:type="dxa" w:w="648"/>
            <w:vAlign w:val="center"/>
          </w:tcPr>
          <w:p>
            <w:pPr>
              <w:spacing w:after="0"/>
            </w:pPr>
            <w:r>
              <w:rPr>
                <w:b/>
                <w:color w:val="000000"/>
                <w:sz w:val="18"/>
              </w:rPr>
              <w:t>C-04</w:t>
            </w:r>
          </w:p>
        </w:tc>
        <w:tc>
          <w:tcPr>
            <w:tcW w:type="dxa" w:w="2520"/>
            <w:vAlign w:val="center"/>
          </w:tcPr>
          <w:p>
            <w:pPr>
              <w:spacing w:after="0"/>
            </w:pPr>
            <w:r>
              <w:rPr>
                <w:b w:val="0"/>
                <w:color w:val="000000"/>
                <w:sz w:val="18"/>
              </w:rPr>
              <w:t>Section 2.2, five rows after Core Quota Check</w:t>
            </w:r>
          </w:p>
        </w:tc>
        <w:tc>
          <w:tcPr>
            <w:tcW w:type="dxa" w:w="4608"/>
            <w:vAlign w:val="center"/>
          </w:tcPr>
          <w:p>
            <w:pPr>
              <w:spacing w:after="0"/>
            </w:pPr>
            <w:r>
              <w:rPr>
                <w:b w:val="0"/>
                <w:color w:val="000000"/>
                <w:sz w:val="18"/>
              </w:rPr>
              <w:t>Firewall Rule Collection Group; NSG Rule Set; Connector Certificates; PSM Service Accounts; East US 2 DR Landing Zone</w:t>
            </w:r>
          </w:p>
        </w:tc>
        <w:tc>
          <w:tcPr>
            <w:tcW w:type="dxa" w:w="1584"/>
            <w:vAlign w:val="center"/>
          </w:tcPr>
          <w:p>
            <w:pPr>
              <w:spacing w:after="0"/>
            </w:pPr>
            <w:r>
              <w:rPr>
                <w:b w:val="0"/>
                <w:color w:val="000000"/>
                <w:sz w:val="18"/>
              </w:rPr>
              <w:t>Entry criteria E-02 to E-06, E-11</w:t>
            </w:r>
          </w:p>
        </w:tc>
      </w:tr>
      <w:tr>
        <w:tc>
          <w:tcPr>
            <w:tcW w:type="dxa" w:w="648"/>
            <w:vAlign w:val="center"/>
          </w:tcPr>
          <w:p>
            <w:pPr>
              <w:spacing w:after="0"/>
            </w:pPr>
            <w:r>
              <w:rPr>
                <w:b/>
                <w:color w:val="000000"/>
                <w:sz w:val="18"/>
              </w:rPr>
              <w:t>C-05</w:t>
            </w:r>
          </w:p>
        </w:tc>
        <w:tc>
          <w:tcPr>
            <w:tcW w:type="dxa" w:w="2520"/>
            <w:vAlign w:val="center"/>
          </w:tcPr>
          <w:p>
            <w:pPr>
              <w:spacing w:after="0"/>
            </w:pPr>
            <w:r>
              <w:rPr>
                <w:b w:val="0"/>
                <w:color w:val="000000"/>
                <w:sz w:val="18"/>
              </w:rPr>
              <w:t>Section 2.3, one row after Deny On-Premises Target</w:t>
            </w:r>
          </w:p>
        </w:tc>
        <w:tc>
          <w:tcPr>
            <w:tcW w:type="dxa" w:w="4608"/>
            <w:vAlign w:val="center"/>
          </w:tcPr>
          <w:p>
            <w:pPr>
              <w:spacing w:after="0"/>
            </w:pPr>
            <w:r>
              <w:rPr>
                <w:b w:val="0"/>
                <w:color w:val="000000"/>
                <w:sz w:val="18"/>
              </w:rPr>
              <w:t>Site Server &amp; Discovery Inbound, TCP 135, 445 and the dynamic range. The rule set is now eight rules, not seven</w:t>
            </w:r>
          </w:p>
        </w:tc>
        <w:tc>
          <w:tcPr>
            <w:tcW w:type="dxa" w:w="1584"/>
            <w:vAlign w:val="center"/>
          </w:tcPr>
          <w:p>
            <w:pPr>
              <w:spacing w:after="0"/>
            </w:pPr>
            <w:r>
              <w:rPr>
                <w:b w:val="0"/>
                <w:color w:val="000000"/>
                <w:sz w:val="18"/>
              </w:rPr>
              <w:t>Playbook 5.6</w:t>
            </w:r>
          </w:p>
        </w:tc>
      </w:tr>
      <w:tr>
        <w:tc>
          <w:tcPr>
            <w:tcW w:type="dxa" w:w="648"/>
            <w:vAlign w:val="center"/>
          </w:tcPr>
          <w:p>
            <w:pPr>
              <w:spacing w:after="0"/>
            </w:pPr>
            <w:r>
              <w:rPr>
                <w:b/>
                <w:color w:val="000000"/>
                <w:sz w:val="18"/>
              </w:rPr>
              <w:t>C-06</w:t>
            </w:r>
          </w:p>
        </w:tc>
        <w:tc>
          <w:tcPr>
            <w:tcW w:type="dxa" w:w="2520"/>
            <w:vAlign w:val="center"/>
          </w:tcPr>
          <w:p>
            <w:pPr>
              <w:spacing w:after="0"/>
            </w:pPr>
            <w:r>
              <w:rPr>
                <w:b w:val="0"/>
                <w:color w:val="000000"/>
                <w:sz w:val="18"/>
              </w:rPr>
              <w:t>Section 4, Step 4, ILB settings table</w:t>
            </w:r>
          </w:p>
        </w:tc>
        <w:tc>
          <w:tcPr>
            <w:tcW w:type="dxa" w:w="4608"/>
            <w:vAlign w:val="center"/>
          </w:tcPr>
          <w:p>
            <w:pPr>
              <w:spacing w:after="0"/>
            </w:pPr>
            <w:r>
              <w:rPr>
                <w:b w:val="0"/>
                <w:color w:val="000000"/>
                <w:sz w:val="18"/>
              </w:rPr>
              <w:t>Session Persistence, Health Probe and Idle Timeout replaced, with their justification text</w:t>
            </w:r>
          </w:p>
        </w:tc>
        <w:tc>
          <w:tcPr>
            <w:tcW w:type="dxa" w:w="1584"/>
            <w:vAlign w:val="center"/>
          </w:tcPr>
          <w:p>
            <w:pPr>
              <w:spacing w:after="0"/>
            </w:pPr>
            <w:r>
              <w:rPr>
                <w:b w:val="0"/>
                <w:color w:val="000000"/>
                <w:sz w:val="18"/>
              </w:rPr>
              <w:t>Playbook 5.6; case A-03</w:t>
            </w:r>
          </w:p>
        </w:tc>
      </w:tr>
      <w:tr>
        <w:tc>
          <w:tcPr>
            <w:tcW w:type="dxa" w:w="648"/>
            <w:vAlign w:val="center"/>
          </w:tcPr>
          <w:p>
            <w:pPr>
              <w:spacing w:after="0"/>
            </w:pPr>
            <w:r>
              <w:rPr>
                <w:b/>
                <w:color w:val="000000"/>
                <w:sz w:val="18"/>
              </w:rPr>
              <w:t>C-07</w:t>
            </w:r>
          </w:p>
        </w:tc>
        <w:tc>
          <w:tcPr>
            <w:tcW w:type="dxa" w:w="2520"/>
            <w:vAlign w:val="center"/>
          </w:tcPr>
          <w:p>
            <w:pPr>
              <w:spacing w:after="0"/>
            </w:pPr>
            <w:r>
              <w:rPr>
                <w:b w:val="0"/>
                <w:color w:val="000000"/>
                <w:sz w:val="18"/>
              </w:rPr>
              <w:t>Section 4, Step 4, three bullets after the Azure Monitor alerts bullet</w:t>
            </w:r>
          </w:p>
        </w:tc>
        <w:tc>
          <w:tcPr>
            <w:tcW w:type="dxa" w:w="4608"/>
            <w:vAlign w:val="center"/>
          </w:tcPr>
          <w:p>
            <w:pPr>
              <w:spacing w:after="0"/>
            </w:pPr>
            <w:r>
              <w:rPr>
                <w:b w:val="0"/>
                <w:color w:val="000000"/>
                <w:sz w:val="18"/>
              </w:rPr>
              <w:t>Six workload alert rules; backup exclusion tag and Cohesity confirmation; Azure Key Vault for pipeline secrets</w:t>
            </w:r>
          </w:p>
        </w:tc>
        <w:tc>
          <w:tcPr>
            <w:tcW w:type="dxa" w:w="1584"/>
            <w:vAlign w:val="center"/>
          </w:tcPr>
          <w:p>
            <w:pPr>
              <w:spacing w:after="0"/>
            </w:pPr>
            <w:r>
              <w:rPr>
                <w:b w:val="0"/>
                <w:color w:val="000000"/>
                <w:sz w:val="18"/>
              </w:rPr>
              <w:t>Playbook 5.9, 5.10, 5.12</w:t>
            </w:r>
          </w:p>
        </w:tc>
      </w:tr>
      <w:tr>
        <w:tc>
          <w:tcPr>
            <w:tcW w:type="dxa" w:w="648"/>
            <w:vAlign w:val="center"/>
          </w:tcPr>
          <w:p>
            <w:pPr>
              <w:spacing w:after="0"/>
            </w:pPr>
            <w:r>
              <w:rPr>
                <w:b/>
                <w:color w:val="000000"/>
                <w:sz w:val="18"/>
              </w:rPr>
              <w:t>C-08</w:t>
            </w:r>
          </w:p>
        </w:tc>
        <w:tc>
          <w:tcPr>
            <w:tcW w:type="dxa" w:w="2520"/>
            <w:vAlign w:val="center"/>
          </w:tcPr>
          <w:p>
            <w:pPr>
              <w:spacing w:after="0"/>
            </w:pPr>
            <w:r>
              <w:rPr>
                <w:b w:val="0"/>
                <w:color w:val="000000"/>
                <w:sz w:val="18"/>
              </w:rPr>
              <w:t>Section 4, Step 5, two bullets after the manual connectivity verification bullet</w:t>
            </w:r>
          </w:p>
        </w:tc>
        <w:tc>
          <w:tcPr>
            <w:tcW w:type="dxa" w:w="4608"/>
            <w:vAlign w:val="center"/>
          </w:tcPr>
          <w:p>
            <w:pPr>
              <w:spacing w:after="0"/>
            </w:pPr>
            <w:r>
              <w:rPr>
                <w:b w:val="0"/>
                <w:color w:val="000000"/>
                <w:sz w:val="18"/>
              </w:rPr>
              <w:t>Rule collection group rcg-sec-cyberark and IP groups; the NSG rule set with rule numbers 100, 120 and 4000</w:t>
            </w:r>
          </w:p>
        </w:tc>
        <w:tc>
          <w:tcPr>
            <w:tcW w:type="dxa" w:w="1584"/>
            <w:vAlign w:val="center"/>
          </w:tcPr>
          <w:p>
            <w:pPr>
              <w:spacing w:after="0"/>
            </w:pPr>
            <w:r>
              <w:rPr>
                <w:b w:val="0"/>
                <w:color w:val="000000"/>
                <w:sz w:val="18"/>
              </w:rPr>
              <w:t>Playbook 5.6; cases B-09, B-10</w:t>
            </w:r>
          </w:p>
        </w:tc>
      </w:tr>
      <w:tr>
        <w:tc>
          <w:tcPr>
            <w:tcW w:type="dxa" w:w="648"/>
            <w:vAlign w:val="center"/>
          </w:tcPr>
          <w:p>
            <w:pPr>
              <w:spacing w:after="0"/>
            </w:pPr>
            <w:r>
              <w:rPr>
                <w:b/>
                <w:color w:val="000000"/>
                <w:sz w:val="18"/>
              </w:rPr>
              <w:t>C-09</w:t>
            </w:r>
          </w:p>
        </w:tc>
        <w:tc>
          <w:tcPr>
            <w:tcW w:type="dxa" w:w="2520"/>
            <w:vAlign w:val="center"/>
          </w:tcPr>
          <w:p>
            <w:pPr>
              <w:spacing w:after="0"/>
            </w:pPr>
            <w:r>
              <w:rPr>
                <w:b w:val="0"/>
                <w:color w:val="000000"/>
                <w:sz w:val="18"/>
              </w:rPr>
              <w:t>Section 4, Step 6, two bullets after the Add Connector bullet</w:t>
            </w:r>
          </w:p>
        </w:tc>
        <w:tc>
          <w:tcPr>
            <w:tcW w:type="dxa" w:w="4608"/>
            <w:vAlign w:val="center"/>
          </w:tcPr>
          <w:p>
            <w:pPr>
              <w:spacing w:after="0"/>
            </w:pPr>
            <w:r>
              <w:rPr>
                <w:b w:val="0"/>
                <w:color w:val="000000"/>
                <w:sz w:val="18"/>
              </w:rPr>
              <w:t>Domain join with PSMConnect and PSMAdminConnect; the PSMUnmanagedSessionAccounts ownership constraint</w:t>
            </w:r>
          </w:p>
        </w:tc>
        <w:tc>
          <w:tcPr>
            <w:tcW w:type="dxa" w:w="1584"/>
            <w:vAlign w:val="center"/>
          </w:tcPr>
          <w:p>
            <w:pPr>
              <w:spacing w:after="0"/>
            </w:pPr>
            <w:r>
              <w:rPr>
                <w:b w:val="0"/>
                <w:color w:val="000000"/>
                <w:sz w:val="18"/>
              </w:rPr>
              <w:t>Entry criteria E-02, E-05</w:t>
            </w:r>
          </w:p>
        </w:tc>
      </w:tr>
      <w:tr>
        <w:tc>
          <w:tcPr>
            <w:tcW w:type="dxa" w:w="648"/>
            <w:vAlign w:val="center"/>
          </w:tcPr>
          <w:p>
            <w:pPr>
              <w:spacing w:after="0"/>
            </w:pPr>
            <w:r>
              <w:rPr>
                <w:b/>
                <w:color w:val="000000"/>
                <w:sz w:val="18"/>
              </w:rPr>
              <w:t>C-10</w:t>
            </w:r>
          </w:p>
        </w:tc>
        <w:tc>
          <w:tcPr>
            <w:tcW w:type="dxa" w:w="2520"/>
            <w:vAlign w:val="center"/>
          </w:tcPr>
          <w:p>
            <w:pPr>
              <w:spacing w:after="0"/>
            </w:pPr>
            <w:r>
              <w:rPr>
                <w:b w:val="0"/>
                <w:color w:val="000000"/>
                <w:sz w:val="18"/>
              </w:rPr>
              <w:t>Section 4, Step 7, four bullets after the Note on sequential deployment</w:t>
            </w:r>
          </w:p>
        </w:tc>
        <w:tc>
          <w:tcPr>
            <w:tcW w:type="dxa" w:w="4608"/>
            <w:vAlign w:val="center"/>
          </w:tcPr>
          <w:p>
            <w:pPr>
              <w:spacing w:after="0"/>
            </w:pPr>
            <w:r>
              <w:rPr>
                <w:b w:val="0"/>
                <w:color w:val="000000"/>
                <w:sz w:val="18"/>
              </w:rPr>
              <w:t>Component installation order; rotation engine deferral; the Configured PSM Servers entry created by copying; cloned Windows and Linux test platforms</w:t>
            </w:r>
          </w:p>
        </w:tc>
        <w:tc>
          <w:tcPr>
            <w:tcW w:type="dxa" w:w="1584"/>
            <w:vAlign w:val="center"/>
          </w:tcPr>
          <w:p>
            <w:pPr>
              <w:spacing w:after="0"/>
            </w:pPr>
            <w:r>
              <w:rPr>
                <w:b w:val="0"/>
                <w:color w:val="000000"/>
                <w:sz w:val="18"/>
              </w:rPr>
              <w:t>Entry criteria E-04, E-07; case C-06</w:t>
            </w:r>
          </w:p>
        </w:tc>
      </w:tr>
      <w:tr>
        <w:tc>
          <w:tcPr>
            <w:tcW w:type="dxa" w:w="648"/>
            <w:vAlign w:val="center"/>
          </w:tcPr>
          <w:p>
            <w:pPr>
              <w:spacing w:after="0"/>
            </w:pPr>
            <w:r>
              <w:rPr>
                <w:b/>
                <w:color w:val="000000"/>
                <w:sz w:val="18"/>
              </w:rPr>
              <w:t>C-11</w:t>
            </w:r>
          </w:p>
        </w:tc>
        <w:tc>
          <w:tcPr>
            <w:tcW w:type="dxa" w:w="2520"/>
            <w:vAlign w:val="center"/>
          </w:tcPr>
          <w:p>
            <w:pPr>
              <w:spacing w:after="0"/>
            </w:pPr>
            <w:r>
              <w:rPr>
                <w:b w:val="0"/>
                <w:color w:val="000000"/>
                <w:sz w:val="18"/>
              </w:rPr>
              <w:t>Section 4, Step 8, four bullets after the endpoint protection bullet</w:t>
            </w:r>
          </w:p>
        </w:tc>
        <w:tc>
          <w:tcPr>
            <w:tcW w:type="dxa" w:w="4608"/>
            <w:vAlign w:val="center"/>
          </w:tcPr>
          <w:p>
            <w:pPr>
              <w:spacing w:after="0"/>
            </w:pPr>
            <w:r>
              <w:rPr>
                <w:b w:val="0"/>
                <w:color w:val="000000"/>
                <w:sz w:val="18"/>
              </w:rPr>
              <w:t>PSM hardening in In Domain mode; hardening verification; probe re-check with the 168.63.129.16 exception; certificate binding and the health endpoint check</w:t>
            </w:r>
          </w:p>
        </w:tc>
        <w:tc>
          <w:tcPr>
            <w:tcW w:type="dxa" w:w="1584"/>
            <w:vAlign w:val="center"/>
          </w:tcPr>
          <w:p>
            <w:pPr>
              <w:spacing w:after="0"/>
            </w:pPr>
            <w:r>
              <w:rPr>
                <w:b w:val="0"/>
                <w:color w:val="000000"/>
                <w:sz w:val="18"/>
              </w:rPr>
              <w:t>Cases A-07 to A-11</w:t>
            </w:r>
          </w:p>
        </w:tc>
      </w:tr>
      <w:tr>
        <w:tc>
          <w:tcPr>
            <w:tcW w:type="dxa" w:w="648"/>
            <w:vAlign w:val="center"/>
          </w:tcPr>
          <w:p>
            <w:pPr>
              <w:spacing w:after="0"/>
            </w:pPr>
            <w:r>
              <w:rPr>
                <w:b/>
                <w:color w:val="000000"/>
                <w:sz w:val="18"/>
              </w:rPr>
              <w:t>C-12</w:t>
            </w:r>
          </w:p>
        </w:tc>
        <w:tc>
          <w:tcPr>
            <w:tcW w:type="dxa" w:w="2520"/>
            <w:vAlign w:val="center"/>
          </w:tcPr>
          <w:p>
            <w:pPr>
              <w:spacing w:after="0"/>
            </w:pPr>
            <w:r>
              <w:rPr>
                <w:b w:val="0"/>
                <w:color w:val="000000"/>
                <w:sz w:val="18"/>
              </w:rPr>
              <w:t>Section 5, new sub-section Entry Criteria, after the opening line and before the test table</w:t>
            </w:r>
          </w:p>
        </w:tc>
        <w:tc>
          <w:tcPr>
            <w:tcW w:type="dxa" w:w="4608"/>
            <w:vAlign w:val="center"/>
          </w:tcPr>
          <w:p>
            <w:pPr>
              <w:spacing w:after="0"/>
            </w:pPr>
            <w:r>
              <w:rPr>
                <w:b w:val="0"/>
                <w:color w:val="000000"/>
                <w:sz w:val="18"/>
              </w:rPr>
              <w:t>Eleven entry points that must be confirmed before testing starts</w:t>
            </w:r>
          </w:p>
        </w:tc>
        <w:tc>
          <w:tcPr>
            <w:tcW w:type="dxa" w:w="1584"/>
            <w:vAlign w:val="center"/>
          </w:tcPr>
          <w:p>
            <w:pPr>
              <w:spacing w:after="0"/>
            </w:pPr>
            <w:r>
              <w:rPr>
                <w:b w:val="0"/>
                <w:color w:val="000000"/>
                <w:sz w:val="18"/>
              </w:rPr>
              <w:t>Test plan Table 2</w:t>
            </w:r>
          </w:p>
        </w:tc>
      </w:tr>
      <w:tr>
        <w:tc>
          <w:tcPr>
            <w:tcW w:type="dxa" w:w="648"/>
            <w:vAlign w:val="center"/>
          </w:tcPr>
          <w:p>
            <w:pPr>
              <w:spacing w:after="0"/>
            </w:pPr>
            <w:r>
              <w:rPr>
                <w:b/>
                <w:color w:val="000000"/>
                <w:sz w:val="18"/>
              </w:rPr>
              <w:t>C-13</w:t>
            </w:r>
          </w:p>
        </w:tc>
        <w:tc>
          <w:tcPr>
            <w:tcW w:type="dxa" w:w="2520"/>
            <w:vAlign w:val="center"/>
          </w:tcPr>
          <w:p>
            <w:pPr>
              <w:spacing w:after="0"/>
            </w:pPr>
            <w:r>
              <w:rPr>
                <w:b w:val="0"/>
                <w:color w:val="000000"/>
                <w:sz w:val="18"/>
              </w:rPr>
              <w:t>Section 5, after the existing test table</w:t>
            </w:r>
          </w:p>
        </w:tc>
        <w:tc>
          <w:tcPr>
            <w:tcW w:type="dxa" w:w="4608"/>
            <w:vAlign w:val="center"/>
          </w:tcPr>
          <w:p>
            <w:pPr>
              <w:spacing w:after="0"/>
            </w:pPr>
            <w:r>
              <w:rPr>
                <w:b w:val="0"/>
                <w:color w:val="000000"/>
                <w:sz w:val="18"/>
              </w:rPr>
              <w:t>New sub-section Test Groups and Sequence with groups A to G, day and case range, plus the effort figures; new sub-section Exit Criteria with seven points</w:t>
            </w:r>
          </w:p>
        </w:tc>
        <w:tc>
          <w:tcPr>
            <w:tcW w:type="dxa" w:w="1584"/>
            <w:vAlign w:val="center"/>
          </w:tcPr>
          <w:p>
            <w:pPr>
              <w:spacing w:after="0"/>
            </w:pPr>
            <w:r>
              <w:rPr>
                <w:b w:val="0"/>
                <w:color w:val="000000"/>
                <w:sz w:val="18"/>
              </w:rPr>
              <w:t>Test plan sections 4, 5 and 6</w:t>
            </w:r>
          </w:p>
        </w:tc>
      </w:tr>
      <w:tr>
        <w:tc>
          <w:tcPr>
            <w:tcW w:type="dxa" w:w="648"/>
            <w:vAlign w:val="center"/>
          </w:tcPr>
          <w:p>
            <w:pPr>
              <w:spacing w:after="0"/>
            </w:pPr>
            <w:r>
              <w:rPr>
                <w:b/>
                <w:color w:val="000000"/>
                <w:sz w:val="18"/>
              </w:rPr>
              <w:t>C-14</w:t>
            </w:r>
          </w:p>
        </w:tc>
        <w:tc>
          <w:tcPr>
            <w:tcW w:type="dxa" w:w="2520"/>
            <w:vAlign w:val="center"/>
          </w:tcPr>
          <w:p>
            <w:pPr>
              <w:spacing w:after="0"/>
            </w:pPr>
            <w:r>
              <w:rPr>
                <w:b w:val="0"/>
                <w:color w:val="000000"/>
                <w:sz w:val="18"/>
              </w:rPr>
              <w:t>Section 6, after the Cutover Steps list</w:t>
            </w:r>
          </w:p>
        </w:tc>
        <w:tc>
          <w:tcPr>
            <w:tcW w:type="dxa" w:w="4608"/>
            <w:vAlign w:val="center"/>
          </w:tcPr>
          <w:p>
            <w:pPr>
              <w:spacing w:after="0"/>
            </w:pPr>
            <w:r>
              <w:rPr>
                <w:b w:val="0"/>
                <w:color w:val="000000"/>
                <w:sz w:val="18"/>
              </w:rPr>
              <w:t>New sub-section Cutover Day Steps, CV-01 to CV-06 with durations, and the 600 second configuration refresh wait</w:t>
            </w:r>
          </w:p>
        </w:tc>
        <w:tc>
          <w:tcPr>
            <w:tcW w:type="dxa" w:w="1584"/>
            <w:vAlign w:val="center"/>
          </w:tcPr>
          <w:p>
            <w:pPr>
              <w:spacing w:after="0"/>
            </w:pPr>
            <w:r>
              <w:rPr>
                <w:b w:val="0"/>
                <w:color w:val="000000"/>
                <w:sz w:val="18"/>
              </w:rPr>
              <w:t>Test plan Table 11</w:t>
            </w:r>
          </w:p>
        </w:tc>
      </w:tr>
      <w:tr>
        <w:tc>
          <w:tcPr>
            <w:tcW w:type="dxa" w:w="648"/>
            <w:vAlign w:val="center"/>
          </w:tcPr>
          <w:p>
            <w:pPr>
              <w:spacing w:after="0"/>
            </w:pPr>
            <w:r>
              <w:rPr>
                <w:b/>
                <w:color w:val="000000"/>
                <w:sz w:val="18"/>
              </w:rPr>
              <w:t>C-15</w:t>
            </w:r>
          </w:p>
        </w:tc>
        <w:tc>
          <w:tcPr>
            <w:tcW w:type="dxa" w:w="2520"/>
            <w:vAlign w:val="center"/>
          </w:tcPr>
          <w:p>
            <w:pPr>
              <w:spacing w:after="0"/>
            </w:pPr>
            <w:r>
              <w:rPr>
                <w:b w:val="0"/>
                <w:color w:val="000000"/>
                <w:sz w:val="18"/>
              </w:rPr>
              <w:t>Section 6, two bullets at the end of Rollback Protocol</w:t>
            </w:r>
          </w:p>
        </w:tc>
        <w:tc>
          <w:tcPr>
            <w:tcW w:type="dxa" w:w="4608"/>
            <w:vAlign w:val="center"/>
          </w:tcPr>
          <w:p>
            <w:pPr>
              <w:spacing w:after="0"/>
            </w:pPr>
            <w:r>
              <w:rPr>
                <w:b w:val="0"/>
                <w:color w:val="000000"/>
                <w:sz w:val="18"/>
              </w:rPr>
              <w:t>Rollback completes in under 30 minutes with nothing taken out of service; cutover and rollback approval ownership</w:t>
            </w:r>
          </w:p>
        </w:tc>
        <w:tc>
          <w:tcPr>
            <w:tcW w:type="dxa" w:w="1584"/>
            <w:vAlign w:val="center"/>
          </w:tcPr>
          <w:p>
            <w:pPr>
              <w:spacing w:after="0"/>
            </w:pPr>
            <w:r>
              <w:rPr>
                <w:b w:val="0"/>
                <w:color w:val="000000"/>
                <w:sz w:val="18"/>
              </w:rPr>
              <w:t>Test plan section 7</w:t>
            </w:r>
          </w:p>
        </w:tc>
      </w:tr>
      <w:tr>
        <w:tc>
          <w:tcPr>
            <w:tcW w:type="dxa" w:w="648"/>
            <w:vAlign w:val="center"/>
          </w:tcPr>
          <w:p>
            <w:pPr>
              <w:spacing w:after="0"/>
            </w:pPr>
            <w:r>
              <w:rPr>
                <w:b/>
                <w:color w:val="000000"/>
                <w:sz w:val="18"/>
              </w:rPr>
              <w:t>C-16</w:t>
            </w:r>
          </w:p>
        </w:tc>
        <w:tc>
          <w:tcPr>
            <w:tcW w:type="dxa" w:w="2520"/>
            <w:vAlign w:val="center"/>
          </w:tcPr>
          <w:p>
            <w:pPr>
              <w:spacing w:after="0"/>
            </w:pPr>
            <w:r>
              <w:rPr>
                <w:b w:val="0"/>
                <w:color w:val="000000"/>
                <w:sz w:val="18"/>
              </w:rPr>
              <w:t>New Section 8, after Section 7 RACI Matrix and before the Abbreviations page</w:t>
            </w:r>
          </w:p>
        </w:tc>
        <w:tc>
          <w:tcPr>
            <w:tcW w:type="dxa" w:w="4608"/>
            <w:vAlign w:val="center"/>
          </w:tcPr>
          <w:p>
            <w:pPr>
              <w:spacing w:after="0"/>
            </w:pPr>
            <w:r>
              <w:rPr>
                <w:b w:val="0"/>
                <w:color w:val="000000"/>
                <w:sz w:val="18"/>
              </w:rPr>
              <w:t>Disaster Recovery Validation: four prerequisites and the nine validation steps G-01 to G-09</w:t>
            </w:r>
          </w:p>
        </w:tc>
        <w:tc>
          <w:tcPr>
            <w:tcW w:type="dxa" w:w="1584"/>
            <w:vAlign w:val="center"/>
          </w:tcPr>
          <w:p>
            <w:pPr>
              <w:spacing w:after="0"/>
            </w:pPr>
            <w:r>
              <w:rPr>
                <w:b w:val="0"/>
                <w:color w:val="000000"/>
                <w:sz w:val="18"/>
              </w:rPr>
              <w:t>Entry criterion E-11; test plan Table 9</w:t>
            </w:r>
          </w:p>
        </w:tc>
      </w:tr>
      <w:tr>
        <w:tc>
          <w:tcPr>
            <w:tcW w:type="dxa" w:w="648"/>
            <w:vAlign w:val="center"/>
          </w:tcPr>
          <w:p>
            <w:pPr>
              <w:spacing w:after="0"/>
            </w:pPr>
            <w:r>
              <w:rPr>
                <w:b/>
                <w:color w:val="000000"/>
                <w:sz w:val="18"/>
              </w:rPr>
              <w:t>C-17</w:t>
            </w:r>
          </w:p>
        </w:tc>
        <w:tc>
          <w:tcPr>
            <w:tcW w:type="dxa" w:w="2520"/>
            <w:vAlign w:val="center"/>
          </w:tcPr>
          <w:p>
            <w:pPr>
              <w:spacing w:after="0"/>
            </w:pPr>
            <w:r>
              <w:rPr>
                <w:b w:val="0"/>
                <w:color w:val="000000"/>
                <w:sz w:val="18"/>
              </w:rPr>
              <w:t>Abbreviations page, six rows added in alphabetical order</w:t>
            </w:r>
          </w:p>
        </w:tc>
        <w:tc>
          <w:tcPr>
            <w:tcW w:type="dxa" w:w="4608"/>
            <w:vAlign w:val="center"/>
          </w:tcPr>
          <w:p>
            <w:pPr>
              <w:spacing w:after="0"/>
            </w:pPr>
            <w:r>
              <w:rPr>
                <w:b w:val="0"/>
                <w:color w:val="000000"/>
                <w:sz w:val="18"/>
              </w:rPr>
              <w:t>ASR, MID, PKI, RPO, SAN, SCCM</w:t>
            </w:r>
          </w:p>
        </w:tc>
        <w:tc>
          <w:tcPr>
            <w:tcW w:type="dxa" w:w="1584"/>
            <w:vAlign w:val="center"/>
          </w:tcPr>
          <w:p>
            <w:pPr>
              <w:spacing w:after="0"/>
            </w:pPr>
            <w:r>
              <w:rPr>
                <w:b w:val="0"/>
                <w:color w:val="000000"/>
                <w:sz w:val="18"/>
              </w:rPr>
              <w:t>New terms introduced above</w:t>
            </w:r>
          </w:p>
        </w:tc>
      </w:tr>
      <w:tr>
        <w:tc>
          <w:tcPr>
            <w:tcW w:type="dxa" w:w="648"/>
            <w:vAlign w:val="center"/>
          </w:tcPr>
          <w:p>
            <w:pPr>
              <w:spacing w:after="0"/>
            </w:pPr>
            <w:r>
              <w:rPr>
                <w:b/>
                <w:color w:val="000000"/>
                <w:sz w:val="18"/>
              </w:rPr>
              <w:t>C-18</w:t>
            </w:r>
          </w:p>
        </w:tc>
        <w:tc>
          <w:tcPr>
            <w:tcW w:type="dxa" w:w="2520"/>
            <w:vAlign w:val="center"/>
          </w:tcPr>
          <w:p>
            <w:pPr>
              <w:spacing w:after="0"/>
            </w:pPr>
            <w:r>
              <w:rPr>
                <w:b w:val="0"/>
                <w:color w:val="000000"/>
                <w:sz w:val="18"/>
              </w:rPr>
              <w:t>Abbreviations page heading</w:t>
            </w:r>
          </w:p>
        </w:tc>
        <w:tc>
          <w:tcPr>
            <w:tcW w:type="dxa" w:w="4608"/>
            <w:vAlign w:val="center"/>
          </w:tcPr>
          <w:p>
            <w:pPr>
              <w:spacing w:after="0"/>
            </w:pPr>
            <w:r>
              <w:rPr>
                <w:b w:val="0"/>
                <w:color w:val="000000"/>
                <w:sz w:val="18"/>
              </w:rPr>
              <w:t>Page break added so the page starts clean after the new Section 8</w:t>
            </w:r>
          </w:p>
        </w:tc>
        <w:tc>
          <w:tcPr>
            <w:tcW w:type="dxa" w:w="1584"/>
            <w:vAlign w:val="center"/>
          </w:tcPr>
          <w:p>
            <w:pPr>
              <w:spacing w:after="0"/>
            </w:pPr>
            <w:r>
              <w:rPr>
                <w:b w:val="0"/>
                <w:color w:val="000000"/>
                <w:sz w:val="18"/>
              </w:rPr>
              <w:t>Formatting</w:t>
            </w:r>
          </w:p>
        </w:tc>
      </w:tr>
      <w:tr>
        <w:tc>
          <w:tcPr>
            <w:tcW w:type="dxa" w:w="648"/>
            <w:vAlign w:val="center"/>
          </w:tcPr>
          <w:p>
            <w:pPr>
              <w:spacing w:after="0"/>
            </w:pPr>
            <w:r>
              <w:rPr>
                <w:b/>
                <w:color w:val="000000"/>
                <w:sz w:val="18"/>
              </w:rPr>
              <w:t>C-19</w:t>
            </w:r>
          </w:p>
        </w:tc>
        <w:tc>
          <w:tcPr>
            <w:tcW w:type="dxa" w:w="2520"/>
            <w:vAlign w:val="center"/>
          </w:tcPr>
          <w:p>
            <w:pPr>
              <w:spacing w:after="0"/>
            </w:pPr>
            <w:r>
              <w:rPr>
                <w:b w:val="0"/>
                <w:color w:val="000000"/>
                <w:sz w:val="18"/>
              </w:rPr>
              <w:t>End of document</w:t>
            </w:r>
          </w:p>
        </w:tc>
        <w:tc>
          <w:tcPr>
            <w:tcW w:type="dxa" w:w="4608"/>
            <w:vAlign w:val="center"/>
          </w:tcPr>
          <w:p>
            <w:pPr>
              <w:spacing w:after="0"/>
            </w:pPr>
            <w:r>
              <w:rPr>
                <w:b w:val="0"/>
                <w:color w:val="000000"/>
                <w:sz w:val="18"/>
              </w:rPr>
              <w:t>Stray empty paragraph removed. It was left over from the deleted Section 8 heading and was producing a blank final page</w:t>
            </w:r>
          </w:p>
        </w:tc>
        <w:tc>
          <w:tcPr>
            <w:tcW w:type="dxa" w:w="1584"/>
            <w:vAlign w:val="center"/>
          </w:tcPr>
          <w:p>
            <w:pPr>
              <w:spacing w:after="0"/>
            </w:pPr>
            <w:r>
              <w:rPr>
                <w:b w:val="0"/>
                <w:color w:val="000000"/>
                <w:sz w:val="18"/>
              </w:rPr>
              <w:t>Formatting</w:t>
            </w:r>
          </w:p>
        </w:tc>
      </w:tr>
      <w:tr>
        <w:tc>
          <w:tcPr>
            <w:tcW w:type="dxa" w:w="648"/>
            <w:vAlign w:val="center"/>
          </w:tcPr>
          <w:p>
            <w:pPr>
              <w:spacing w:after="0"/>
            </w:pPr>
            <w:r>
              <w:rPr>
                <w:b/>
                <w:color w:val="000000"/>
                <w:sz w:val="18"/>
              </w:rPr>
              <w:t>C-20</w:t>
            </w:r>
          </w:p>
        </w:tc>
        <w:tc>
          <w:tcPr>
            <w:tcW w:type="dxa" w:w="2520"/>
            <w:vAlign w:val="center"/>
          </w:tcPr>
          <w:p>
            <w:pPr>
              <w:spacing w:after="0"/>
            </w:pPr>
            <w:r>
              <w:rPr>
                <w:b w:val="0"/>
                <w:color w:val="000000"/>
                <w:sz w:val="18"/>
              </w:rPr>
              <w:t>Contents page</w:t>
            </w:r>
          </w:p>
        </w:tc>
        <w:tc>
          <w:tcPr>
            <w:tcW w:type="dxa" w:w="4608"/>
            <w:vAlign w:val="center"/>
          </w:tcPr>
          <w:p>
            <w:pPr>
              <w:spacing w:after="0"/>
            </w:pPr>
            <w:r>
              <w:rPr>
                <w:b w:val="0"/>
                <w:color w:val="000000"/>
                <w:sz w:val="18"/>
              </w:rPr>
              <w:t>Rebuilt with seven new entries and every page number updated</w:t>
            </w:r>
          </w:p>
        </w:tc>
        <w:tc>
          <w:tcPr>
            <w:tcW w:type="dxa" w:w="1584"/>
            <w:vAlign w:val="center"/>
          </w:tcPr>
          <w:p>
            <w:pPr>
              <w:spacing w:after="0"/>
            </w:pPr>
            <w:r>
              <w:rPr>
                <w:b w:val="0"/>
                <w:color w:val="000000"/>
                <w:sz w:val="18"/>
              </w:rPr>
              <w:t>Consequence of the above</w:t>
            </w:r>
          </w:p>
        </w:tc>
      </w:tr>
    </w:tbl>
    <w:p>
      <w:pPr>
        <w:spacing w:after="80"/>
      </w:pPr>
    </w:p>
    <w:p>
      <w:pPr>
        <w:keepNext/>
        <w:spacing w:before="360" w:after="160"/>
        <w:pBdr>
          <w:bottom w:val="single" w:sz="8" w:space="4" w:color="000000"/>
        </w:pBdr>
      </w:pPr>
      <w:r>
        <w:rPr>
          <w:b/>
          <w:color w:val="000000"/>
          <w:sz w:val="22"/>
        </w:rPr>
        <w:t>4. Points to confirm before issue</w:t>
      </w:r>
    </w:p>
    <w:p>
      <w:r>
        <w:rPr>
          <w:b w:val="0"/>
          <w:color w:val="000000"/>
          <w:sz w:val="18"/>
        </w:rPr>
        <w:t>Four items are worth a decision before this version goes out. None of them blocks the update.</w:t>
      </w:r>
    </w:p>
    <w:tbl>
      <w:tblPr>
        <w:tblStyle w:val="TableGrid"/>
        <w:tblW w:type="auto" w:w="0"/>
        <w:tblLayout w:type="fixed"/>
        <w:tblLook w:firstColumn="1" w:firstRow="1" w:lastColumn="0" w:lastRow="0" w:noHBand="0" w:noVBand="1" w:val="04A0"/>
      </w:tblPr>
      <w:tblGrid>
        <w:gridCol w:w="3120"/>
        <w:gridCol w:w="3120"/>
        <w:gridCol w:w="3120"/>
      </w:tblGrid>
      <w:tr>
        <w:tc>
          <w:tcPr>
            <w:tcW w:type="dxa" w:w="576"/>
            <w:vAlign w:val="center"/>
            <w:shd w:val="clear" w:color="auto" w:fill="D9D9D9"/>
          </w:tcPr>
          <w:p>
            <w:pPr>
              <w:spacing w:after="0"/>
            </w:pPr>
            <w:r>
              <w:rPr>
                <w:b/>
                <w:color w:val="000000"/>
                <w:sz w:val="18"/>
              </w:rPr>
              <w:t>#</w:t>
            </w:r>
          </w:p>
        </w:tc>
        <w:tc>
          <w:tcPr>
            <w:tcW w:type="dxa" w:w="2880"/>
            <w:vAlign w:val="center"/>
            <w:shd w:val="clear" w:color="auto" w:fill="D9D9D9"/>
          </w:tcPr>
          <w:p>
            <w:pPr>
              <w:spacing w:after="0"/>
            </w:pPr>
            <w:r>
              <w:rPr>
                <w:b/>
                <w:color w:val="000000"/>
                <w:sz w:val="18"/>
              </w:rPr>
              <w:t>Point</w:t>
            </w:r>
          </w:p>
        </w:tc>
        <w:tc>
          <w:tcPr>
            <w:tcW w:type="dxa" w:w="5904"/>
            <w:vAlign w:val="center"/>
            <w:shd w:val="clear" w:color="auto" w:fill="D9D9D9"/>
          </w:tcPr>
          <w:p>
            <w:pPr>
              <w:spacing w:after="0"/>
            </w:pPr>
            <w:r>
              <w:rPr>
                <w:b/>
                <w:color w:val="000000"/>
                <w:sz w:val="18"/>
              </w:rPr>
              <w:t>Detail</w:t>
            </w:r>
          </w:p>
        </w:tc>
      </w:tr>
      <w:tr>
        <w:tc>
          <w:tcPr>
            <w:tcW w:type="dxa" w:w="576"/>
            <w:vAlign w:val="center"/>
          </w:tcPr>
          <w:p>
            <w:pPr>
              <w:spacing w:after="0"/>
            </w:pPr>
            <w:r>
              <w:rPr>
                <w:b/>
                <w:color w:val="000000"/>
                <w:sz w:val="18"/>
              </w:rPr>
              <w:t>1</w:t>
            </w:r>
          </w:p>
        </w:tc>
        <w:tc>
          <w:tcPr>
            <w:tcW w:type="dxa" w:w="2880"/>
            <w:vAlign w:val="center"/>
          </w:tcPr>
          <w:p>
            <w:pPr>
              <w:spacing w:after="0"/>
            </w:pPr>
            <w:r>
              <w:rPr>
                <w:b w:val="0"/>
                <w:color w:val="000000"/>
                <w:sz w:val="18"/>
              </w:rPr>
              <w:t>Administrative access contradicts itself in the playbook</w:t>
            </w:r>
          </w:p>
        </w:tc>
        <w:tc>
          <w:tcPr>
            <w:tcW w:type="dxa" w:w="5904"/>
            <w:vAlign w:val="center"/>
          </w:tcPr>
          <w:p>
            <w:pPr>
              <w:spacing w:after="0"/>
            </w:pPr>
            <w:r>
              <w:rPr>
                <w:b w:val="0"/>
                <w:color w:val="000000"/>
                <w:sz w:val="18"/>
              </w:rPr>
              <w:t>Section 5.0 Design Overview still reads "Administrative access to the operating systems is through Azure Bastion only", while section 5.7 and test case B-09 describe remote desktop from the GEHA administrative ranges, permitted by NSG rules 100 and 120 and denied by rule 4000. The workflow now follows 5.7 and B-09, because that is the model the test plan actually verifies. Please confirm, and align 5.0 in the playbook.</w:t>
            </w:r>
          </w:p>
        </w:tc>
      </w:tr>
      <w:tr>
        <w:tc>
          <w:tcPr>
            <w:tcW w:type="dxa" w:w="576"/>
            <w:vAlign w:val="center"/>
          </w:tcPr>
          <w:p>
            <w:pPr>
              <w:spacing w:after="0"/>
            </w:pPr>
            <w:r>
              <w:rPr>
                <w:b/>
                <w:color w:val="000000"/>
                <w:sz w:val="18"/>
              </w:rPr>
              <w:t>2</w:t>
            </w:r>
          </w:p>
        </w:tc>
        <w:tc>
          <w:tcPr>
            <w:tcW w:type="dxa" w:w="2880"/>
            <w:vAlign w:val="center"/>
          </w:tcPr>
          <w:p>
            <w:pPr>
              <w:spacing w:after="0"/>
            </w:pPr>
            <w:r>
              <w:rPr>
                <w:b w:val="0"/>
                <w:color w:val="000000"/>
                <w:sz w:val="18"/>
              </w:rPr>
              <w:t>A related line in the workflow was left as it stands</w:t>
            </w:r>
          </w:p>
        </w:tc>
        <w:tc>
          <w:tcPr>
            <w:tcW w:type="dxa" w:w="5904"/>
            <w:vAlign w:val="center"/>
          </w:tcPr>
          <w:p>
            <w:pPr>
              <w:spacing w:after="0"/>
            </w:pPr>
            <w:r>
              <w:rPr>
                <w:b w:val="0"/>
                <w:color w:val="000000"/>
                <w:sz w:val="18"/>
              </w:rPr>
              <w:t>The bullet under Step 2 still reads "Direct internet management ports are Denied (Bastion access mandatory)." That statement is about the inherited policy rather than the access model, so it was not changed. If Bastion is being dropped, this wording should change too.</w:t>
            </w:r>
          </w:p>
        </w:tc>
      </w:tr>
      <w:tr>
        <w:tc>
          <w:tcPr>
            <w:tcW w:type="dxa" w:w="576"/>
            <w:vAlign w:val="center"/>
          </w:tcPr>
          <w:p>
            <w:pPr>
              <w:spacing w:after="0"/>
            </w:pPr>
            <w:r>
              <w:rPr>
                <w:b/>
                <w:color w:val="000000"/>
                <w:sz w:val="18"/>
              </w:rPr>
              <w:t>3</w:t>
            </w:r>
          </w:p>
        </w:tc>
        <w:tc>
          <w:tcPr>
            <w:tcW w:type="dxa" w:w="2880"/>
            <w:vAlign w:val="center"/>
          </w:tcPr>
          <w:p>
            <w:pPr>
              <w:spacing w:after="0"/>
            </w:pPr>
            <w:r>
              <w:rPr>
                <w:b w:val="0"/>
                <w:color w:val="000000"/>
                <w:sz w:val="18"/>
              </w:rPr>
              <w:t>Session persistence has been reversed</w:t>
            </w:r>
          </w:p>
        </w:tc>
        <w:tc>
          <w:tcPr>
            <w:tcW w:type="dxa" w:w="5904"/>
            <w:vAlign w:val="center"/>
          </w:tcPr>
          <w:p>
            <w:pPr>
              <w:spacing w:after="0"/>
            </w:pPr>
            <w:r>
              <w:rPr>
                <w:b w:val="0"/>
                <w:color w:val="000000"/>
                <w:sz w:val="18"/>
              </w:rPr>
              <w:t>The earlier design set persistence to Client IP to protect the brokering handshake. The revised playbook sets no persistence and relies on the five tuple hash, on the basis that persistence is needed only where automatic session reconnection is enabled. Worth confirming with CyberArk that reconnection stays off, since this is the setting that previously carried a session-drop risk.</w:t>
            </w:r>
          </w:p>
        </w:tc>
      </w:tr>
      <w:tr>
        <w:tc>
          <w:tcPr>
            <w:tcW w:type="dxa" w:w="576"/>
            <w:vAlign w:val="center"/>
          </w:tcPr>
          <w:p>
            <w:pPr>
              <w:spacing w:after="0"/>
            </w:pPr>
            <w:r>
              <w:rPr>
                <w:b/>
                <w:color w:val="000000"/>
                <w:sz w:val="18"/>
              </w:rPr>
              <w:t>4</w:t>
            </w:r>
          </w:p>
        </w:tc>
        <w:tc>
          <w:tcPr>
            <w:tcW w:type="dxa" w:w="2880"/>
            <w:vAlign w:val="center"/>
          </w:tcPr>
          <w:p>
            <w:pPr>
              <w:spacing w:after="0"/>
            </w:pPr>
            <w:r>
              <w:rPr>
                <w:b w:val="0"/>
                <w:color w:val="000000"/>
                <w:sz w:val="18"/>
              </w:rPr>
              <w:t>Idle timeout has been shortened</w:t>
            </w:r>
          </w:p>
        </w:tc>
        <w:tc>
          <w:tcPr>
            <w:tcW w:type="dxa" w:w="5904"/>
            <w:vAlign w:val="center"/>
          </w:tcPr>
          <w:p>
            <w:pPr>
              <w:spacing w:after="0"/>
            </w:pPr>
            <w:r>
              <w:rPr>
                <w:b w:val="0"/>
                <w:color w:val="000000"/>
                <w:sz w:val="18"/>
              </w:rPr>
              <w:t>The workflow held 30 minutes; the playbook gives 1200 seconds, which is 20 minutes. Recorded as stated. Confirm the reduction is intended.</w:t>
            </w:r>
          </w:p>
        </w:tc>
      </w:tr>
    </w:tbl>
    <w:p>
      <w:pPr>
        <w:spacing w:after="80"/>
      </w:pPr>
    </w:p>
    <w:p>
      <w:pPr>
        <w:keepNext/>
        <w:spacing w:before="360" w:after="160"/>
        <w:pBdr>
          <w:bottom w:val="single" w:sz="8" w:space="4" w:color="000000"/>
        </w:pBdr>
      </w:pPr>
      <w:r>
        <w:rPr>
          <w:b/>
          <w:color w:val="000000"/>
          <w:sz w:val="22"/>
        </w:rPr>
        <w:t>5. Playbook content deliberately not carried across</w:t>
      </w:r>
    </w:p>
    <w:p>
      <w:r>
        <w:rPr>
          <w:b w:val="0"/>
          <w:color w:val="000000"/>
          <w:sz w:val="18"/>
        </w:rPr>
        <w:t>The following were read and left where they are, because they are design or governance material rather than execution steps:</w:t>
      </w:r>
    </w:p>
    <w:p>
      <w:pPr>
        <w:pStyle w:val="ListBullet"/>
        <w:spacing w:after="80"/>
      </w:pPr>
      <w:r>
        <w:rPr>
          <w:rFonts w:ascii="Aptos" w:hAnsi="Aptos"/>
          <w:color w:val="000000"/>
          <w:sz w:val="18"/>
        </w:rPr>
        <w:t>Sections 3 and 4 of the playbook, covering business purpose, ownership, criticality and the current state registers.</w:t>
      </w:r>
    </w:p>
    <w:p>
      <w:pPr>
        <w:pStyle w:val="ListBullet"/>
        <w:spacing w:after="80"/>
      </w:pPr>
      <w:r>
        <w:rPr>
          <w:rFonts w:ascii="Aptos" w:hAnsi="Aptos"/>
          <w:color w:val="000000"/>
          <w:sz w:val="18"/>
        </w:rPr>
        <w:t>Section 5.0 Design Overview and the target state architecture diagram record.</w:t>
      </w:r>
    </w:p>
    <w:p>
      <w:pPr>
        <w:pStyle w:val="ListBullet"/>
        <w:spacing w:after="80"/>
      </w:pPr>
      <w:r>
        <w:rPr>
          <w:rFonts w:ascii="Aptos" w:hAnsi="Aptos"/>
          <w:color w:val="000000"/>
          <w:sz w:val="18"/>
        </w:rPr>
        <w:t>Sections 5.1 to 5.5 and 5.7 to 5.11, which set out the design position rather than the work to be done. Only the values an engineer applies were taken from them.</w:t>
      </w:r>
    </w:p>
    <w:p>
      <w:pPr>
        <w:pStyle w:val="ListBullet"/>
        <w:spacing w:after="80"/>
      </w:pPr>
      <w:r>
        <w:rPr>
          <w:rFonts w:ascii="Aptos" w:hAnsi="Aptos"/>
          <w:color w:val="000000"/>
          <w:sz w:val="18"/>
        </w:rPr>
        <w:t>The roles table, swimlane workflow and gate model in Appendix A of the test plan, which describe how the test is governed rather than how it is run.</w:t>
      </w:r>
    </w:p>
    <w:p>
      <w:pPr>
        <w:pStyle w:val="ListBullet"/>
        <w:spacing w:after="80"/>
      </w:pPr>
      <w:r>
        <w:rPr>
          <w:rFonts w:ascii="Aptos" w:hAnsi="Aptos"/>
          <w:color w:val="000000"/>
          <w:sz w:val="18"/>
        </w:rPr>
        <w:t>The deferred items list, which is tracked in the programme decision register and is already reflected in the new Exit Criteria.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eastAsia="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