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Turbonomic Migration Playbook v0.4 — Summary</w:t>
      </w:r>
    </w:p>
    <w:p>
      <w:pPr/>
      <w:r>
        <w:t xml:space="preserve">Oct 9, 2026</w:t>
      </w:r>
      <w:r>
        <w:t xml:space="preserve"> · </w:t>
      </w:r>
      <w:r>
        <w:t xml:space="preserve">@Saikat Majumdar</w:t>
      </w:r>
    </w:p>
    <w:p>
      <w:pPr/>
      <w:r>
        <w:t xml:space="preserve">Turbonomic leaves the GEHA datacenter as a Wave 2 RePurchase with cutover on 01/07/27, 52 days ahead of its 02/28/27 contract cliff. The playbook itself is still a thin draft: most target-state, cutover and governance fields are empty.</w:t>
      </w:r>
    </w:p>
    <w:p>
      <w:pPr>
        <w:pStyle w:val="Heading2"/>
      </w:pPr>
      <w:r>
        <w:t xml:space="preserve">About the document and the application</w:t>
      </w:r>
    </w:p>
    <w:p>
      <w:pPr/>
      <w:r>
        <w:rPr>
          <w:b/>
        </w:rPr>
        <w:t xml:space="preserve">The document</w:t>
      </w:r>
      <w:r>
        <w:t xml:space="preserve"> is a DRAFT for GEHA review, dated 26-Aug-2026, ID GEHA-DCM-TURBONOMIC-v0.4. George Galindo (Cloud Architect, Citius Healthcare Consulting) wrote it on SaaS Migration Playbook Template v4.0. It is addressed to Norris Simmons (Application Owner), John Dean (Director) and Dale Gibson (Admin / Support Manager). No peer reviewer is assigned yet.</w:t>
      </w:r>
    </w:p>
    <w:p>
      <w:pPr/>
      <w:r>
        <w:rPr>
          <w:b/>
        </w:rPr>
        <w:t xml:space="preserve">What Turbonomic does:</w:t>
      </w:r>
      <w:r>
        <w:t xml:space="preserve"> it is IBM's resource-optimisation virtual appliance for the VMware estate (formerly VMTurbo; the BIA lists the vendor as "Turbonomics"). It watches vSphere continuously and recommends right-sizing and performance tuning.</w:t>
      </w:r>
    </w:p>
    <w:p>
      <w:pPr/>
      <w:r>
        <w:rPr>
          <w:b/>
        </w:rPr>
        <w:t xml:space="preserve">Criticality:</w:t>
      </w:r>
      <w:r>
        <w:t xml:space="preserve"> Tier 3, "2 – Medium", supporting 2 business capabilities. Losing it stops VMware monitoring and optimisation and nothing else.</w:t>
      </w:r>
    </w:p>
    <w:p>
      <w:pPr/>
      <w:r>
        <w:rPr>
          <w:b/>
        </w:rPr>
        <w:t xml:space="preserve">Disposition:</w:t>
      </w:r>
      <w:r>
        <w:t xml:space="preserve"> RePurchase in Wave 2 (plan of record BASELINE v2.1). The target is undecided between two routes:</w:t>
      </w:r>
    </w:p>
    <w:p>
      <w:pPr>
        <w:pStyle w:val="ListParagraph"/>
        <w:numPr>
          <w:ilvl w:val="0"/>
          <w:numId w:val="2"/>
        </w:numPr>
      </w:pPr>
      <w:r>
        <w:t xml:space="preserve">Turbonomic SaaS, or</w:t>
      </w:r>
    </w:p>
    <w:p>
      <w:pPr>
        <w:pStyle w:val="ListParagraph"/>
        <w:numPr>
          <w:ilvl w:val="0"/>
          <w:numId w:val="2"/>
        </w:numPr>
      </w:pPr>
      <w:r>
        <w:t xml:space="preserve">Azure-native tooling: Azure Advisor, Cost Management + Billing, Monitor &amp; Log Analytics, and Autoscale.</w:t>
      </w:r>
    </w:p>
    <w:p>
      <w:pPr/>
      <w:r>
        <w:t xml:space="preserve">GEHA's own note leans toward the second: </w:t>
      </w:r>
      <w:r>
        <w:rPr>
          <w:i/>
        </w:rPr>
        <w:t xml:space="preserve">"Explore Azure options – Turbonomic SaaS may not be worth the $."</w:t>
      </w:r>
      <w:r>
        <w:t xml:space="preserve"> The playbook records this as awaiting a ruling.</w:t>
      </w:r>
    </w:p>
    <w:p>
      <w:pPr>
        <w:pStyle w:val="Heading2"/>
      </w:pPr>
      <w:r>
        <w:t xml:space="preserve">Key dates</w:t>
      </w:r>
    </w:p>
    <w:p>
      <w:pPr/>
      <w:r>
        <w:drawing>
          <wp:inline distT="0" distB="0" distL="0" distR="0">
            <wp:extent cx="5486400" cy="3518807"/>
            <wp:docPr id="1" name="image1" descr="Turbonomic key dates · Sep 2026 to Feb 20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urbonomic key dates · Sep 2026 to Feb 2027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Turbonomic key dates · Sep 2026 to Feb 2027</w:t>
      </w:r>
    </w:p>
    <w:p>
      <w:pPr/>
      <w:r>
        <w:t xml:space="preserve">Cutover on Thu 01/07/27 leaves 52 days of float before the 02/28/27 cliff, when the $42,687 annual renewal falls due.</w:t>
      </w:r>
    </w:p>
    <w:p>
      <w:pPr>
        <w:pStyle w:val="ListParagraph"/>
        <w:numPr>
          <w:ilvl w:val="0"/>
          <w:numId w:val="3"/>
        </w:numPr>
      </w:pPr>
      <w:r>
        <w:t xml:space="preserve">The change record moves to Fri 12/18/26, before the Christmas close, because 31 Dec and 1 Jan are holidays; CAB meets Wed 01/06/27.</w:t>
      </w:r>
    </w:p>
    <w:p>
      <w:pPr>
        <w:pStyle w:val="ListParagraph"/>
        <w:numPr>
          <w:ilvl w:val="0"/>
          <w:numId w:val="3"/>
        </w:numPr>
      </w:pPr>
      <w:r>
        <w:t xml:space="preserve">The SOW (ZCON-18111, signed 30-Jul-2026) bars production cutovers in Nov-2026 and Nov-2027.</w:t>
      </w:r>
    </w:p>
    <w:p>
      <w:pPr>
        <w:pStyle w:val="ListParagraph"/>
        <w:numPr>
          <w:ilvl w:val="0"/>
          <w:numId w:val="3"/>
        </w:numPr>
      </w:pPr>
      <w:r>
        <w:t xml:space="preserve">The biggest schedule threat is GEHA delivering the Appendix B information late.</w:t>
      </w:r>
    </w:p>
    <w:p>
      <w:pPr>
        <w:pStyle w:val="Heading2"/>
      </w:pPr>
      <w:r>
        <w:t xml:space="preserve">Current state: what is actually evidenced</w:t>
      </w:r>
    </w:p>
    <w:p>
      <w:pPr/>
      <w:r>
        <w:t xml:space="preserve">One live CentOS 7 appliance in Lenexa runs Turbonomic, with no database, no backup policy and no measured utilisation.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Host:</w:t>
      </w:r>
      <w:r>
        <w:t xml:space="preserve"> one live VM, </w:t>
      </w:r>
      <w:r>
        <w:rPr>
          <w:rStyle w:val="CodeChar"/>
        </w:rPr>
        <w:t xml:space="preserve">turbonomic</w:t>
      </w:r>
      <w:r>
        <w:t xml:space="preserve"> (DNS </w:t>
      </w:r>
      <w:r>
        <w:rPr>
          <w:rStyle w:val="CodeChar"/>
        </w:rPr>
        <w:t xml:space="preserve">node1</w:t>
      </w:r>
      <w:r>
        <w:t xml:space="preserve">), in Lenexa at 10.0.0.80.</w:t>
      </w:r>
    </w:p>
    <w:p>
      <w:pPr>
        <w:pStyle w:val="ListParagraph"/>
        <w:numPr>
          <w:ilvl w:val="1"/>
          <w:numId w:val="5"/>
        </w:numPr>
      </w:pPr>
      <w:r>
        <w:t xml:space="preserve">CentOS 7 64-bit, 8 vCPU, 128 GB RAM, 2 disks of about 1.78 TB, HW v13. GEHA's own answer was "8 vCPU / 128 GB / 1.5 TB".</w:t>
      </w:r>
    </w:p>
    <w:p>
      <w:pPr>
        <w:pStyle w:val="ListParagraph"/>
        <w:numPr>
          <w:ilvl w:val="1"/>
          <w:numId w:val="5"/>
        </w:numPr>
      </w:pPr>
      <w:r>
        <w:t xml:space="preserve">A containerised application inside the VM; single production environment; no HA cluster.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Stale twin:</w:t>
      </w:r>
      <w:r>
        <w:t xml:space="preserve"> a powered-off VM of the same name sits in Lee's Summit (CentOS 4/5, HW v7, no IP). It is an old previous-generation appliance, not a standby. Delete versus cold-migrate is an open ruling.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Data:</w:t>
      </w:r>
      <w:r>
        <w:t xml:space="preserve"> no on-premises SQL database. Configuration and performance history live in the appliance's internal datastore.</w:t>
      </w:r>
    </w:p>
    <w:p>
      <w:pPr>
        <w:pStyle w:val="ListParagraph"/>
        <w:numPr>
          <w:ilvl w:val="1"/>
          <w:numId w:val="6"/>
        </w:numPr>
      </w:pPr>
      <w:r>
        <w:t xml:space="preserve">Retention period is unknown.</w:t>
      </w:r>
    </w:p>
    <w:p>
      <w:pPr>
        <w:pStyle w:val="ListParagraph"/>
        <w:numPr>
          <w:ilvl w:val="1"/>
          <w:numId w:val="6"/>
        </w:numPr>
      </w:pPr>
      <w:r>
        <w:t xml:space="preserve">Nobody has said whether historical analytics must migrate.</w:t>
      </w:r>
    </w:p>
    <w:p>
      <w:pPr>
        <w:pStyle w:val="ListParagraph"/>
        <w:numPr>
          <w:ilvl w:val="1"/>
          <w:numId w:val="6"/>
        </w:numPr>
      </w:pPr>
      <w:r>
        <w:t xml:space="preserve">The SaaS export or onboarding path is vendor-owned and undocumented.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Backup:</w:t>
      </w:r>
      <w:r>
        <w:t xml:space="preserve"> the live appliance has no backup policy in the vCenter export. Only the powered-off twin shows "2WK Backup". There is no verified restore.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SLA / RTO / RPO:</w:t>
      </w:r>
      <w:r>
        <w:t xml:space="preserve"> GEHA answered "no" to having any, yet the BIA records RTO 24 hours and no RPO. The mismatch is reported, not resolved.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Utilisation:</w:t>
      </w:r>
      <w:r>
        <w:t xml:space="preserve"> peak CPU, memory, IOPS and network are unmeasured; the appliance has no row in the Matilda assessment.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Automation:</w:t>
      </w:r>
      <w:r>
        <w:t xml:space="preserve"> none ("nothing is automated at the moment"); recommendations run "constantly".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Licensing:</w:t>
      </w:r>
      <w:r>
        <w:t xml:space="preserve"> workload-based and, per GEHA, transferable to cloud.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Ownership conflict:</w:t>
      </w:r>
      <w:r>
        <w:t xml:space="preserve"> the Discovery Report (row 75) names Adriane Westhoven; the BASELINE v2.1 Owners tab names Norris Simmons. The Owners tab governs under the 24-Aug ruling, and both names stay on record.</w:t>
      </w:r>
    </w:p>
    <w:p>
      <w:pPr/>
      <w:r>
        <w:t xml:space="preserve">All five integrations are outbound, and none has a named far-side owner yet.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Integration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How it works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Criticality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vCenter / vSphere</w:t>
            </w:r>
          </w:p>
        </w:tc>
        <w:tc>
          <w:tcPr>
            <w:tcW w:w="3120" w:type="dxa"/>
          </w:tcPr>
          <w:p>
            <w:pPr/>
            <w:r>
              <w:t xml:space="preserve">Continuous monitoring through vSphere APIs</w:t>
            </w:r>
          </w:p>
        </w:tc>
        <w:tc>
          <w:tcPr>
            <w:tcW w:w="3120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Microsoft Azure</w:t>
            </w:r>
          </w:p>
        </w:tc>
        <w:tc>
          <w:tcPr>
            <w:tcW w:w="3120" w:type="dxa"/>
          </w:tcPr>
          <w:p>
            <w:pPr/>
            <w:r>
              <w:t xml:space="preserve">Connection established</w:t>
            </w:r>
          </w:p>
        </w:tc>
        <w:tc>
          <w:tcPr>
            <w:tcW w:w="3120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ServiceNow (ITSM)</w:t>
            </w:r>
          </w:p>
        </w:tc>
        <w:tc>
          <w:tcPr>
            <w:tcW w:w="3120" w:type="dxa"/>
          </w:tcPr>
          <w:p>
            <w:pPr/>
            <w:r>
              <w:t xml:space="preserve">Event-driven</w:t>
            </w:r>
          </w:p>
        </w:tc>
        <w:tc>
          <w:tcPr>
            <w:tcW w:w="3120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Splunk</w:t>
            </w:r>
          </w:p>
        </w:tc>
        <w:tc>
          <w:tcPr>
            <w:tcW w:w="3120" w:type="dxa"/>
          </w:tcPr>
          <w:p>
            <w:pPr/>
            <w:r>
              <w:t xml:space="preserve">Monitors the appliance</w:t>
            </w:r>
          </w:p>
        </w:tc>
        <w:tc>
          <w:tcPr>
            <w:tcW w:w="3120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LDAP / AD</w:t>
            </w:r>
          </w:p>
        </w:tc>
        <w:tc>
          <w:tcPr>
            <w:tcW w:w="3120" w:type="dxa"/>
          </w:tcPr>
          <w:p>
            <w:pPr/>
            <w:r>
              <w:t xml:space="preserve">Login authentication for the UI</w:t>
            </w:r>
          </w:p>
        </w:tc>
        <w:tc>
          <w:tcPr>
            <w:tcW w:w="3120" w:type="dxa"/>
          </w:tcPr>
          <w:p>
            <w:pPr/>
            <w:r>
              <w:t xml:space="preserve">Medium</w:t>
            </w:r>
          </w:p>
        </w:tc>
      </w:tr>
    </w:tbl>
    <w:p>
      <w:pPr>
        <w:pStyle w:val="Heading2"/>
      </w:pPr>
      <w:r>
        <w:t xml:space="preserve">Target state, preparation and cutover</w:t>
      </w:r>
    </w:p>
    <w:p>
      <w:pPr/>
      <w:r>
        <w:t xml:space="preserve">These sections are almost entirely template structure with no content yet.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Missing:</w:t>
      </w:r>
      <w:r>
        <w:t xml:space="preserve"> vendor edition and region, shared-responsibility split, contract and SLA, compliance artefacts (SOC reports and similar), SSO design, network allow-lists, functional gaps, rehearsal plan, test entry and exit criteria, training, and the readiness review.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Vendor obligations log:</w:t>
      </w:r>
      <w:r>
        <w:t xml:space="preserve"> two entries.</w:t>
      </w:r>
    </w:p>
    <w:p>
      <w:pPr>
        <w:pStyle w:val="ListParagraph"/>
        <w:numPr>
          <w:ilvl w:val="1"/>
          <w:numId w:val="8"/>
        </w:numPr>
      </w:pPr>
      <w:r>
        <w:t xml:space="preserve">G-1 Azure Migrate validation by 09/30/26 — On track.</w:t>
      </w:r>
    </w:p>
    <w:p>
      <w:pPr>
        <w:pStyle w:val="ListParagraph"/>
        <w:numPr>
          <w:ilvl w:val="1"/>
          <w:numId w:val="8"/>
        </w:numPr>
      </w:pPr>
      <w:r>
        <w:t xml:space="preserve">Landing zone and target subscription confirmation by the GEHA cloud platform team — At risk, no date agreed.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Go/no-go:</w:t>
      </w:r>
      <w:r>
        <w:t xml:space="preserve"> 13 gate criteria, all ungraded. The only named owner is Dale Gibson, for support and hypercare staffing.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Decommission:</w:t>
      </w:r>
      <w:r>
        <w:t xml:space="preserve"> formally outside the SOW, but the playbook keeps closure tasks in scope: revoke access, retire AD groups, remove firewall rules, DNS records, certificates and S2S tunnel entries, and cancel the legacy licence.</w:t>
      </w:r>
    </w:p>
    <w:p>
      <w:pPr/>
      <w:r>
        <w:t xml:space="preserve">The cutover runbook has 15 steps, all without times or owners:</w:t>
      </w:r>
    </w:p>
    <w:p>
      <w:pPr>
        <w:pStyle w:val="ListParagraph"/>
        <w:numPr>
          <w:ilvl w:val="0"/>
          <w:numId w:val="9"/>
        </w:numPr>
      </w:pPr>
      <w:r>
        <w:t xml:space="preserve">Pre-window (steps 1–3): prepare, stage the client, confirm the freeze.</w:t>
      </w:r>
    </w:p>
    <w:p>
      <w:pPr>
        <w:pStyle w:val="ListParagraph"/>
        <w:numPr>
          <w:ilvl w:val="0"/>
          <w:numId w:val="9"/>
        </w:numPr>
      </w:pPr>
      <w:r>
        <w:t xml:space="preserve">Quiesce (step 4): stop legacy access.</w:t>
      </w:r>
    </w:p>
    <w:p>
      <w:pPr>
        <w:pStyle w:val="ListParagraph"/>
        <w:numPr>
          <w:ilvl w:val="0"/>
          <w:numId w:val="9"/>
        </w:numPr>
      </w:pPr>
      <w:r>
        <w:t xml:space="preserve">Migrate (steps 5–6).</w:t>
      </w:r>
    </w:p>
    <w:p>
      <w:pPr>
        <w:pStyle w:val="ListParagraph"/>
        <w:numPr>
          <w:ilvl w:val="0"/>
          <w:numId w:val="9"/>
        </w:numPr>
      </w:pPr>
      <w:r>
        <w:t xml:space="preserve">Validate (steps 7–9 and 11–12): check control totals, enable accounts, re-point integrations.</w:t>
      </w:r>
    </w:p>
    <w:p>
      <w:pPr>
        <w:pStyle w:val="ListParagraph"/>
        <w:numPr>
          <w:ilvl w:val="0"/>
          <w:numId w:val="9"/>
        </w:numPr>
      </w:pPr>
      <w:r>
        <w:t xml:space="preserve">Release (steps 10 and 13–15): redirect the legacy virtual server to a maintenance notice rather than removing the pool, go live, and remove legacy entry points.</w:t>
      </w:r>
    </w:p>
    <w:p>
      <w:pPr>
        <w:pStyle w:val="Heading2"/>
      </w:pPr>
      <w:r>
        <w:t xml:space="preserve">Governance</w:t>
      </w:r>
    </w:p>
    <w:p>
      <w:pPr/>
      <w:r>
        <w:t xml:space="preserve">The Migration Team is Responsible for nearly every task. The App Owner holds most Accountable calls, and two BLOCKING information requests are already past due.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RACI:</w:t>
      </w:r>
      <w:r>
        <w:t xml:space="preserve"> the App Owner is Accountable for account build, external partner coordination, go/no-go, cutover, reconciliation, the rollback decision and decommission. Security is Accountable for identity/SSO and operational readiness. Dale Gibson is Accountable for re-pointing integrations.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Risks:</w:t>
      </w:r>
      <w:r>
        <w:t xml:space="preserve"> the only live risk is holding the 01/07/27 date. Two older engine flags are closed as superseded by BASELINE v2.1: "cliff missed" and "plan cutover 2028-04-01 past the W4 deadline".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Assumptions:</w:t>
      </w:r>
    </w:p>
    <w:p>
      <w:pPr>
        <w:pStyle w:val="ListParagraph"/>
        <w:numPr>
          <w:ilvl w:val="1"/>
          <w:numId w:val="11"/>
        </w:numPr>
      </w:pPr>
      <w:r>
        <w:t xml:space="preserve">Effort size L: 16 weeks across 4 parallel tracks. Not yet confirmed by GEHA PMO.</w:t>
      </w:r>
    </w:p>
    <w:p>
      <w:pPr>
        <w:pStyle w:val="ListParagraph"/>
        <w:numPr>
          <w:ilvl w:val="1"/>
          <w:numId w:val="11"/>
        </w:numPr>
      </w:pPr>
      <w:r>
        <w:t xml:space="preserve">Wave window runs from 2026-08-01. Confirmed.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Sign-off:</w:t>
      </w:r>
      <w:r>
        <w:t xml:space="preserve"> Norris Simmons and Christy Ammel (DBA / Production Control) are named. Security, Technical Lead, Network and Procurement are still "to be provided by GEHA".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Appendix C</w:t>
      </w:r>
      <w:r>
        <w:t xml:space="preserve"> reproduces GEHA's discovery answers word for word; most evidenced facts in this summary come from it.</w:t>
      </w:r>
    </w:p>
    <w:p>
      <w:pPr/>
      <w:r>
        <w:t xml:space="preserve">Open items, as dated in the 26-Aug-2026 playbook: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Open item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Due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State in the playbook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Azure Migrate project access / first discovery export</w:t>
            </w:r>
          </w:p>
        </w:tc>
        <w:tc>
          <w:tcPr>
            <w:tcW w:w="3120" w:type="dxa"/>
          </w:tcPr>
          <w:p>
            <w:pPr/>
            <w:r>
              <w:t xml:space="preserve">08/25/26</w:t>
            </w:r>
          </w:p>
        </w:tc>
        <w:tc>
          <w:tcPr>
            <w:tcW w:w="3120" w:type="dxa"/>
          </w:tcPr>
          <w:p>
            <w:pPr/>
            <w:r>
              <w:t xml:space="preserve">Elapsed, BLOCKING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Formal G-1 gate completion date</w:t>
            </w:r>
          </w:p>
        </w:tc>
        <w:tc>
          <w:tcPr>
            <w:tcW w:w="3120" w:type="dxa"/>
          </w:tcPr>
          <w:p>
            <w:pPr/>
            <w:r>
              <w:t xml:space="preserve">08/18/26</w:t>
            </w:r>
          </w:p>
        </w:tc>
        <w:tc>
          <w:tcPr>
            <w:tcW w:w="3120" w:type="dxa"/>
          </w:tcPr>
          <w:p>
            <w:pPr/>
            <w:r>
              <w:t xml:space="preserve">Elapsed, BLOCKING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Capacity parameters: tracks, freeze calendar, LZ readiness</w:t>
            </w:r>
          </w:p>
        </w:tc>
        <w:tc>
          <w:tcPr>
            <w:tcW w:w="3120" w:type="dxa"/>
          </w:tcPr>
          <w:p>
            <w:pPr/>
            <w:r>
              <w:t xml:space="preserve">08/31/26</w:t>
            </w:r>
          </w:p>
        </w:tc>
        <w:tc>
          <w:tcPr>
            <w:tcW w:w="3120" w:type="dxa"/>
          </w:tcPr>
          <w:p>
            <w:pPr/>
            <w:r>
              <w:t xml:space="preserve">Open, BLOCKING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Cohesity backup policy export and protection groups</w:t>
            </w:r>
          </w:p>
        </w:tc>
        <w:tc>
          <w:tcPr>
            <w:tcW w:w="3120" w:type="dxa"/>
          </w:tcPr>
          <w:p>
            <w:pPr/>
            <w:r>
              <w:t xml:space="preserve">09/30/26</w:t>
            </w:r>
          </w:p>
        </w:tc>
        <w:tc>
          <w:tcPr>
            <w:tcW w:w="3120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DNS zone and firewall rule exports (refresh)</w:t>
            </w:r>
          </w:p>
        </w:tc>
        <w:tc>
          <w:tcPr>
            <w:tcW w:w="3120" w:type="dxa"/>
          </w:tcPr>
          <w:p>
            <w:pPr/>
            <w:r>
              <w:t xml:space="preserve">09/30/26</w:t>
            </w:r>
          </w:p>
        </w:tc>
        <w:tc>
          <w:tcPr>
            <w:tcW w:w="3120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Ruling on the powered-off Lee's Summit twin</w:t>
            </w:r>
          </w:p>
        </w:tc>
        <w:tc>
          <w:tcPr>
            <w:tcW w:w="3120" w:type="dxa"/>
          </w:tcPr>
          <w:p>
            <w:pPr/>
            <w:r>
              <w:t xml:space="preserve">10/23/26</w:t>
            </w:r>
          </w:p>
        </w:tc>
        <w:tc>
          <w:tcPr>
            <w:tcW w:w="3120" w:type="dxa"/>
          </w:tcPr>
          <w:p>
            <w:pPr/>
            <w:r>
              <w:t xml:space="preserve">Open</w:t>
            </w:r>
          </w:p>
        </w:tc>
      </w:tr>
    </w:tbl>
    <w:p>
      <w:pPr>
        <w:pStyle w:val="Heading2"/>
      </w:pPr>
      <w:r>
        <w:t xml:space="preserve">Problems to fix before release</w:t>
      </w:r>
    </w:p>
    <w:p>
      <w:pPr/>
      <w:r>
        <w:t xml:space="preserve">Five defects would confuse a GEHA reviewer and should be fixed before the playbook leaves draft.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Version mismatch:</w:t>
      </w:r>
      <w:r>
        <w:t xml:space="preserve"> the cover says v0.4, but every page header says v0.3. The v0.4 change note cites BASELINE v1.9, while the body uses v2.1.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Wrong Appendix B citations:</w:t>
      </w:r>
      <w:r>
        <w:t xml:space="preserve"> software version, owner contacts and the UI URL cite Appendix B item 05, which is actually "Vendor portal logins: Progress, Cohesity, Archer". Other fields cite item 06 (owner reassignments), item 12 (Cohesity backup) and item 16 (SQL table-level write audit). These are program-wide items, so a reader cannot trace the Turbonomic gaps back to them.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Boilerplate clutter:</w:t>
      </w:r>
      <w:r>
        <w:t xml:space="preserve"> the "searched the full evidence pack…" text appears about 400 times. It bloats the PDF to 162 pages and spills across table columns.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Broken quotes:</w:t>
      </w:r>
      <w:r>
        <w:t xml:space="preserve"> the identity and network discovery notes cut off mid-sentence ("Octa is no lo…"). The hypercare SOW excerpt pulls in unrelated text ("Software Development Units are registered with Special Economic Zones…").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Irrelevant entries for a database-free appliance:</w:t>
      </w:r>
      <w:r>
        <w:t xml:space="preserve"> a DBA / Production Control signatory, and a Dell PowerFlex/Isilon storage dependency.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Turbonomic Migration Playbook v0.4 — Summary</dc:title>
  <dc:description>Claude Docs node/56575394-bf24@7 docx-w6</dc:description>
  <cp:revision>7</cp:revision>
</cp:coreProperties>
</file>