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D4A73"/>
          <w:sz w:val="40"/>
          <w:szCs w:val="40"/>
        </w:rPr>
        <w:t xml:space="preserve">Utility Migration to Azure</w:t>
      </w:r>
    </w:p>
    <w:p>
      <w:pPr>
        <w:pBdr>
          <w:bottom w:val="single" w:color="1D4A73" w:sz="8" w:space="8"/>
        </w:pBdr>
        <w:spacing w:after="300"/>
      </w:pPr>
      <w:r>
        <w:rPr>
          <w:rFonts w:ascii="Calibri" w:cs="Calibri" w:eastAsia="Calibri" w:hAnsi="Calibri"/>
          <w:color w:val="4A5A68"/>
          <w:sz w:val="24"/>
          <w:szCs w:val="24"/>
        </w:rPr>
        <w:t xml:space="preserve">Questions for the GEHA Cloud Platform team, derived from comparing the Playbook with the Execution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A9B8C6" w:sz="4"/>
              <w:left w:val="single" w:color="A9B8C6" w:sz="4"/>
              <w:bottom w:val="single" w:color="A9B8C6" w:sz="4"/>
              <w:right w:val="single" w:color="A9B8C6" w:sz="4"/>
            </w:tcBorders>
            <w:shd w:fill="EEF3F8" w:color="auto" w:val="clear"/>
            <w:tcMar>
              <w:top w:type="dxa" w:w="60"/>
              <w:left w:type="dxa" w:w="100"/>
              <w:bottom w:type="dxa" w:w="60"/>
              <w:right w:type="dxa" w:w="100"/>
            </w:tcMar>
          </w:tcPr>
          <w:p>
            <w:pPr>
              <w:spacing w:after="40"/>
            </w:pPr>
            <w:r>
              <w:rPr>
                <w:rFonts w:ascii="Calibri" w:cs="Calibri" w:eastAsia="Calibri" w:hAnsi="Calibri"/>
                <w:sz w:val="19"/>
                <w:szCs w:val="19"/>
              </w:rPr>
              <w:t xml:space="preserve">Application</w:t>
            </w:r>
          </w:p>
        </w:tc>
        <w:tc>
          <w:tcPr>
            <w:tcW w:type="dxa" w:w="69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Utility – eight shared jump servers and administrative tool servers (one development, two test, five production)</w:t>
            </w:r>
          </w:p>
        </w:tc>
      </w:tr>
      <w:tr>
        <w:trPr>
          <w:cantSplit/>
        </w:trPr>
        <w:tc>
          <w:tcPr>
            <w:tcW w:type="dxa" w:w="2400"/>
            <w:tcBorders>
              <w:top w:val="single" w:color="A9B8C6" w:sz="4"/>
              <w:left w:val="single" w:color="A9B8C6" w:sz="4"/>
              <w:bottom w:val="single" w:color="A9B8C6" w:sz="4"/>
              <w:right w:val="single" w:color="A9B8C6" w:sz="4"/>
            </w:tcBorders>
            <w:shd w:fill="EEF3F8" w:color="auto" w:val="clear"/>
            <w:tcMar>
              <w:top w:type="dxa" w:w="60"/>
              <w:left w:type="dxa" w:w="100"/>
              <w:bottom w:type="dxa" w:w="60"/>
              <w:right w:type="dxa" w:w="100"/>
            </w:tcMar>
          </w:tcPr>
          <w:p>
            <w:pPr>
              <w:spacing w:after="40"/>
            </w:pPr>
            <w:r>
              <w:rPr>
                <w:rFonts w:ascii="Calibri" w:cs="Calibri" w:eastAsia="Calibri" w:hAnsi="Calibri"/>
                <w:sz w:val="19"/>
                <w:szCs w:val="19"/>
              </w:rPr>
              <w:t xml:space="preserve">Documents compared</w:t>
            </w:r>
          </w:p>
        </w:tc>
        <w:tc>
          <w:tcPr>
            <w:tcW w:type="dxa" w:w="69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Utility – Application Migration Playbook v0.4 (draft, 26-Aug-2026) and Execution Workflow – Utility (22-Sep-2026)</w:t>
            </w:r>
          </w:p>
        </w:tc>
      </w:tr>
      <w:tr>
        <w:trPr>
          <w:cantSplit/>
        </w:trPr>
        <w:tc>
          <w:tcPr>
            <w:tcW w:type="dxa" w:w="2400"/>
            <w:tcBorders>
              <w:top w:val="single" w:color="A9B8C6" w:sz="4"/>
              <w:left w:val="single" w:color="A9B8C6" w:sz="4"/>
              <w:bottom w:val="single" w:color="A9B8C6" w:sz="4"/>
              <w:right w:val="single" w:color="A9B8C6" w:sz="4"/>
            </w:tcBorders>
            <w:shd w:fill="EEF3F8" w:color="auto" w:val="clear"/>
            <w:tcMar>
              <w:top w:type="dxa" w:w="60"/>
              <w:left w:type="dxa" w:w="100"/>
              <w:bottom w:type="dxa" w:w="60"/>
              <w:right w:type="dxa" w:w="100"/>
            </w:tcMar>
          </w:tcPr>
          <w:p>
            <w:pPr>
              <w:spacing w:after="40"/>
            </w:pPr>
            <w:r>
              <w:rPr>
                <w:rFonts w:ascii="Calibri" w:cs="Calibri" w:eastAsia="Calibri" w:hAnsi="Calibri"/>
                <w:sz w:val="19"/>
                <w:szCs w:val="19"/>
              </w:rPr>
              <w:t xml:space="preserve">Addressed to</w:t>
            </w:r>
          </w:p>
        </w:tc>
        <w:tc>
          <w:tcPr>
            <w:tcW w:type="dxa" w:w="69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GEHA Cloud Platform team (with Network, Identity and Operations where noted)</w:t>
            </w:r>
          </w:p>
        </w:tc>
      </w:tr>
      <w:tr>
        <w:trPr>
          <w:cantSplit/>
        </w:trPr>
        <w:tc>
          <w:tcPr>
            <w:tcW w:type="dxa" w:w="2400"/>
            <w:tcBorders>
              <w:top w:val="single" w:color="A9B8C6" w:sz="4"/>
              <w:left w:val="single" w:color="A9B8C6" w:sz="4"/>
              <w:bottom w:val="single" w:color="A9B8C6" w:sz="4"/>
              <w:right w:val="single" w:color="A9B8C6" w:sz="4"/>
            </w:tcBorders>
            <w:shd w:fill="EEF3F8" w:color="auto" w:val="clear"/>
            <w:tcMar>
              <w:top w:type="dxa" w:w="60"/>
              <w:left w:type="dxa" w:w="100"/>
              <w:bottom w:type="dxa" w:w="60"/>
              <w:right w:type="dxa" w:w="100"/>
            </w:tcMar>
          </w:tcPr>
          <w:p>
            <w:pPr>
              <w:spacing w:after="40"/>
            </w:pPr>
            <w:r>
              <w:rPr>
                <w:rFonts w:ascii="Calibri" w:cs="Calibri" w:eastAsia="Calibri" w:hAnsi="Calibri"/>
                <w:sz w:val="19"/>
                <w:szCs w:val="19"/>
              </w:rPr>
              <w:t xml:space="preserve">Prepared by</w:t>
            </w:r>
          </w:p>
        </w:tc>
        <w:tc>
          <w:tcPr>
            <w:tcW w:type="dxa" w:w="696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Saikat Majumdar, Azure Solution Architect, CitiusTech</w:t>
            </w:r>
          </w:p>
        </w:tc>
      </w:tr>
      <w:tr>
        <w:trPr>
          <w:cantSplit/>
        </w:trPr>
        <w:tc>
          <w:tcPr>
            <w:tcW w:type="dxa" w:w="2400"/>
            <w:tcBorders>
              <w:top w:val="single" w:color="A9B8C6" w:sz="4"/>
              <w:left w:val="single" w:color="A9B8C6" w:sz="4"/>
              <w:bottom w:val="single" w:color="A9B8C6" w:sz="4"/>
              <w:right w:val="single" w:color="A9B8C6" w:sz="4"/>
            </w:tcBorders>
            <w:shd w:fill="EEF3F8" w:color="auto" w:val="clear"/>
            <w:tcMar>
              <w:top w:type="dxa" w:w="60"/>
              <w:left w:type="dxa" w:w="100"/>
              <w:bottom w:type="dxa" w:w="60"/>
              <w:right w:type="dxa" w:w="100"/>
            </w:tcMar>
          </w:tcPr>
          <w:p>
            <w:pPr>
              <w:spacing w:after="40"/>
            </w:pPr>
            <w:r>
              <w:rPr>
                <w:rFonts w:ascii="Calibri" w:cs="Calibri" w:eastAsia="Calibri" w:hAnsi="Calibri"/>
                <w:sz w:val="19"/>
                <w:szCs w:val="19"/>
              </w:rPr>
              <w:t xml:space="preserve">Date</w:t>
            </w:r>
          </w:p>
        </w:tc>
        <w:tc>
          <w:tcPr>
            <w:tcW w:type="dxa" w:w="696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24-Sep-2026</w:t>
            </w:r>
          </w:p>
        </w:tc>
      </w:tr>
    </w:tbl>
    <w:p>
      <w:pPr>
        <w:spacing w:after="120"/>
      </w:pPr>
    </w:p>
    <w:p>
      <w:pPr>
        <w:pStyle w:val="Heading1"/>
      </w:pPr>
      <w:r>
        <w:t xml:space="preserve">Purpose and how the questions were built</w:t>
      </w:r>
    </w:p>
    <w:p>
      <w:pPr>
        <w:pStyle w:val="ListParagraph"/>
        <w:numPr>
          <w:ilvl w:val="0"/>
          <w:numId w:val="2"/>
        </w:numPr>
        <w:spacing w:after="60" w:line="264"/>
      </w:pPr>
      <w:r>
        <w:rPr>
          <w:rFonts w:ascii="Calibri" w:cs="Calibri" w:eastAsia="Calibri" w:hAnsi="Calibri"/>
          <w:sz w:val="21"/>
          <w:szCs w:val="21"/>
        </w:rPr>
        <w:t xml:space="preserve">The Execution Workflow describes how Utility will be moved: eight VMware servers rehosted to Azure with Azure Migrate agentless replication, onto an Azure foundation deployed with Bicep through an approved pipeline, development and test first, then production host by host.</w:t>
      </w:r>
    </w:p>
    <w:p>
      <w:pPr>
        <w:pStyle w:val="ListParagraph"/>
        <w:numPr>
          <w:ilvl w:val="0"/>
          <w:numId w:val="2"/>
        </w:numPr>
        <w:spacing w:after="60" w:line="264"/>
      </w:pPr>
      <w:r>
        <w:rPr>
          <w:rFonts w:ascii="Calibri" w:cs="Calibri" w:eastAsia="Calibri" w:hAnsi="Calibri"/>
          <w:sz w:val="21"/>
          <w:szCs w:val="21"/>
        </w:rPr>
        <w:t xml:space="preserve">Almost every step in that workflow depends on something the Cloud Platform team owns or approves: the subscription, the network, the policy, the quota, the identities, the pipeline, and the onboarding of monitoring, security and backup.</w:t>
      </w:r>
    </w:p>
    <w:p>
      <w:pPr>
        <w:pStyle w:val="ListParagraph"/>
        <w:numPr>
          <w:ilvl w:val="0"/>
          <w:numId w:val="2"/>
        </w:numPr>
        <w:spacing w:after="60" w:line="264"/>
      </w:pPr>
      <w:r>
        <w:rPr>
          <w:rFonts w:ascii="Calibri" w:cs="Calibri" w:eastAsia="Calibri" w:hAnsi="Calibri"/>
          <w:sz w:val="21"/>
          <w:szCs w:val="21"/>
        </w:rPr>
        <w:t xml:space="preserve">The playbook is the place where those platform facts should already be recorded. In version 0.4 most of them are still "Not yet provided". The playbook also lists "Azure landing zone and target subscription confirmed" as a dependency owned by the GEHA cloud platform team, with no agreed date and a status of At Risk.</w:t>
      </w:r>
    </w:p>
    <w:p>
      <w:pPr>
        <w:pStyle w:val="ListParagraph"/>
        <w:numPr>
          <w:ilvl w:val="0"/>
          <w:numId w:val="2"/>
        </w:numPr>
        <w:spacing w:after="60" w:line="264"/>
      </w:pPr>
      <w:r>
        <w:rPr>
          <w:rFonts w:ascii="Calibri" w:cs="Calibri" w:eastAsia="Calibri" w:hAnsi="Calibri"/>
          <w:sz w:val="21"/>
          <w:szCs w:val="21"/>
        </w:rPr>
        <w:t xml:space="preserve">Each question below comes from a specific gap: a step the Execution Workflow needs to run, set against what the playbook currently says. Every question shows why it is being asked, what a complete answer looks like, and which execution step or playbook section it unblocks.</w:t>
      </w:r>
    </w:p>
    <w:p>
      <w:pPr>
        <w:pStyle w:val="ListParagraph"/>
        <w:numPr>
          <w:ilvl w:val="0"/>
          <w:numId w:val="2"/>
        </w:numPr>
        <w:spacing w:after="60" w:line="264"/>
      </w:pPr>
      <w:r>
        <w:rPr>
          <w:rFonts w:ascii="Calibri" w:cs="Calibri" w:eastAsia="Calibri" w:hAnsi="Calibri"/>
          <w:sz w:val="21"/>
          <w:szCs w:val="21"/>
        </w:rPr>
        <w:t xml:space="preserve">Questions are ordered in the sequence the Execution Workflow runs, so answering them from the top down clears the path to the final state in order.</w:t>
      </w:r>
    </w:p>
    <w:p>
      <w:pPr>
        <w:pStyle w:val="Heading2"/>
      </w:pPr>
      <w:r>
        <w:t xml:space="preserve">Where the two documents disagree</w:t>
      </w:r>
    </w:p>
    <w:p>
      <w:pPr>
        <w:spacing w:after="120" w:line="276"/>
      </w:pPr>
      <w:r>
        <w:rPr>
          <w:rFonts w:ascii="Calibri" w:cs="Calibri" w:eastAsia="Calibri" w:hAnsi="Calibri"/>
          <w:sz w:val="21"/>
          <w:szCs w:val="21"/>
        </w:rPr>
        <w:t xml:space="preserve">These differences shape several of the questions. The Cloud Platform team's answers will settle most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2600"/>
        <w:gridCol w:w="2810"/>
      </w:tblGrid>
      <w:tr>
        <w:trPr>
          <w:tblHeader/>
        </w:trPr>
        <w:tc>
          <w:tcPr>
            <w:tcW w:type="dxa" w:w="135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Topic</w:t>
            </w:r>
          </w:p>
        </w:tc>
        <w:tc>
          <w:tcPr>
            <w:tcW w:type="dxa" w:w="26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Playbook v0.4</w:t>
            </w:r>
          </w:p>
        </w:tc>
        <w:tc>
          <w:tcPr>
            <w:tcW w:type="dxa" w:w="26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Execution Workflow</w:t>
            </w:r>
          </w:p>
        </w:tc>
        <w:tc>
          <w:tcPr>
            <w:tcW w:type="dxa" w:w="281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needs settling</w:t>
            </w:r>
          </w:p>
        </w:tc>
      </w:tr>
      <w:tr>
        <w:trPr>
          <w:cantSplit/>
        </w:trPr>
        <w:tc>
          <w:tcPr>
            <w:tcW w:type="dxa" w:w="13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Sequence</w:t>
            </w:r>
          </w:p>
        </w:tc>
        <w:tc>
          <w:tcPr>
            <w:tcW w:type="dxa" w:w="2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One move group with all eight servers, one date: 18 March 2027 (Section 6.1).</w:t>
            </w:r>
          </w:p>
        </w:tc>
        <w:tc>
          <w:tcPr>
            <w:tcW w:type="dxa" w:w="2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Development pilot EAUTILDEV201, then OIMTST101 and OIMTST102, then production host by host in dependency order.</w:t>
            </w:r>
          </w:p>
        </w:tc>
        <w:tc>
          <w:tcPr>
            <w:tcW w:type="dxa" w:w="281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Non-production foundation must be ready earlier than production; the dates need to reflect that.</w:t>
            </w:r>
          </w:p>
        </w:tc>
      </w:tr>
      <w:tr>
        <w:trPr>
          <w:cantSplit/>
        </w:trPr>
        <w:tc>
          <w:tcPr>
            <w:tcW w:type="dxa" w:w="13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Linux server</w:t>
            </w:r>
          </w:p>
        </w:tc>
        <w:tc>
          <w:tcPr>
            <w:tcW w:type="dxa" w:w="2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Rehost ruled; container conversion decision W3-UTIL-D1 still open (Sections 5.1, 10.1).</w:t>
            </w:r>
          </w:p>
        </w:tc>
        <w:tc>
          <w:tcPr>
            <w:tcW w:type="dxa" w:w="2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Complete virtual machine rehost; Azure Container Instances is a future change.</w:t>
            </w:r>
          </w:p>
        </w:tc>
        <w:tc>
          <w:tcPr>
            <w:tcW w:type="dxa" w:w="281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Formal close of the decision so the platform sizes and places one Linux virtual machine.</w:t>
            </w:r>
          </w:p>
        </w:tc>
      </w:tr>
      <w:tr>
        <w:trPr>
          <w:cantSplit/>
        </w:trPr>
        <w:tc>
          <w:tcPr>
            <w:tcW w:type="dxa" w:w="13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Scope</w:t>
            </w:r>
          </w:p>
        </w:tc>
        <w:tc>
          <w:tcPr>
            <w:tcW w:type="dxa" w:w="2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Nine servers listed; LXENTUTL01 needs a retire-or-ignore ruling.</w:t>
            </w:r>
          </w:p>
        </w:tc>
        <w:tc>
          <w:tcPr>
            <w:tcW w:type="dxa" w:w="2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Eight servers; LXENTUTL01 excluded.</w:t>
            </w:r>
          </w:p>
        </w:tc>
        <w:tc>
          <w:tcPr>
            <w:tcW w:type="dxa" w:w="281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Platform sizes and quotas for eight only.</w:t>
            </w:r>
          </w:p>
        </w:tc>
      </w:tr>
      <w:tr>
        <w:trPr>
          <w:cantSplit/>
        </w:trPr>
        <w:tc>
          <w:tcPr>
            <w:tcW w:type="dxa" w:w="13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How it is built</w:t>
            </w:r>
          </w:p>
        </w:tc>
        <w:tc>
          <w:tcPr>
            <w:tcW w:type="dxa" w:w="2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Deployment approach not decided (Section 5.12).</w:t>
            </w:r>
          </w:p>
        </w:tc>
        <w:tc>
          <w:tcPr>
            <w:tcW w:type="dxa" w:w="2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Bicep through an approved pipeline, with a what-if review; virtual machines created by Azure Migrate.</w:t>
            </w:r>
          </w:p>
        </w:tc>
        <w:tc>
          <w:tcPr>
            <w:tcW w:type="dxa" w:w="281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Repository, parameter file, pipeline and ownership boundaries.</w:t>
            </w:r>
          </w:p>
        </w:tc>
      </w:tr>
      <w:tr>
        <w:trPr>
          <w:cantSplit/>
        </w:trPr>
        <w:tc>
          <w:tcPr>
            <w:tcW w:type="dxa" w:w="13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Test network</w:t>
            </w:r>
          </w:p>
        </w:tc>
        <w:tc>
          <w:tcPr>
            <w:tcW w:type="dxa" w:w="2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Isolated test environment not provided (Section 6.4).</w:t>
            </w:r>
          </w:p>
        </w:tc>
        <w:tc>
          <w:tcPr>
            <w:tcW w:type="dxa" w:w="2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Relies on an isolated test subnet for every test migration and rehearsal.</w:t>
            </w:r>
          </w:p>
        </w:tc>
        <w:tc>
          <w:tcPr>
            <w:tcW w:type="dxa" w:w="281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Design of the isolated subnet.</w:t>
            </w:r>
          </w:p>
        </w:tc>
      </w:tr>
      <w:tr>
        <w:trPr>
          <w:cantSplit/>
        </w:trPr>
        <w:tc>
          <w:tcPr>
            <w:tcW w:type="dxa" w:w="13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Network</w:t>
            </w:r>
          </w:p>
        </w:tc>
        <w:tc>
          <w:tcPr>
            <w:tcW w:type="dxa" w:w="2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Virtual network, subnets, IP, security groups, routes all not provided (Section 5.6).</w:t>
            </w:r>
          </w:p>
        </w:tc>
        <w:tc>
          <w:tcPr>
            <w:tcW w:type="dxa" w:w="2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All of these are prerequisites before Step 1 can start.</w:t>
            </w:r>
          </w:p>
        </w:tc>
        <w:tc>
          <w:tcPr>
            <w:tcW w:type="dxa" w:w="281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Network handoff package.</w:t>
            </w:r>
          </w:p>
        </w:tc>
      </w:tr>
      <w:tr>
        <w:trPr>
          <w:cantSplit/>
        </w:trPr>
        <w:tc>
          <w:tcPr>
            <w:tcW w:type="dxa" w:w="13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Backup</w:t>
            </w:r>
          </w:p>
        </w:tc>
        <w:tc>
          <w:tcPr>
            <w:tcW w:type="dxa" w:w="2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Azure Backup withdrawn (decision REG-017); target backup policy blank (Section 5.9).</w:t>
            </w:r>
          </w:p>
        </w:tc>
        <w:tc>
          <w:tcPr>
            <w:tcW w:type="dxa" w:w="2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Backup enrolment and a recovery test are validation test V09 and cutover action C09.</w:t>
            </w:r>
          </w:p>
        </w:tc>
        <w:tc>
          <w:tcPr>
            <w:tcW w:type="dxa" w:w="281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Which product protects Azure virtual machines.</w:t>
            </w:r>
          </w:p>
        </w:tc>
      </w:tr>
      <w:tr>
        <w:trPr>
          <w:cantSplit/>
        </w:trPr>
        <w:tc>
          <w:tcPr>
            <w:tcW w:type="dxa" w:w="13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Administrative access</w:t>
            </w:r>
          </w:p>
        </w:tc>
        <w:tc>
          <w:tcPr>
            <w:tcW w:type="dxa" w:w="2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No Remote Desktop listener observed (Section 4.3).</w:t>
            </w:r>
          </w:p>
        </w:tc>
        <w:tc>
          <w:tcPr>
            <w:tcW w:type="dxa" w:w="2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Requires an "intended private administration path".</w:t>
            </w:r>
          </w:p>
        </w:tc>
        <w:tc>
          <w:tcPr>
            <w:tcW w:type="dxa" w:w="281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How support teams reach the jump servers in Azure.</w:t>
            </w:r>
          </w:p>
        </w:tc>
      </w:tr>
      <w:tr>
        <w:trPr>
          <w:cantSplit/>
        </w:trPr>
        <w:tc>
          <w:tcPr>
            <w:tcW w:type="dxa" w:w="13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Replication</w:t>
            </w:r>
          </w:p>
        </w:tc>
        <w:tc>
          <w:tcPr>
            <w:tcW w:type="dxa" w:w="2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Appliance, bandwidth, lag, throttling not provided (Section 6.3).</w:t>
            </w:r>
          </w:p>
        </w:tc>
        <w:tc>
          <w:tcPr>
            <w:tcW w:type="dxa" w:w="26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Defines appliance ports and says to coordinate bandwidth with Network.</w:t>
            </w:r>
          </w:p>
        </w:tc>
        <w:tc>
          <w:tcPr>
            <w:tcW w:type="dxa" w:w="281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Replication path and bandwidth.</w:t>
            </w:r>
          </w:p>
        </w:tc>
      </w:tr>
      <w:tr>
        <w:trPr>
          <w:cantSplit/>
        </w:trPr>
        <w:tc>
          <w:tcPr>
            <w:tcW w:type="dxa" w:w="13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Rollback and hypercare</w:t>
            </w:r>
          </w:p>
        </w:tc>
        <w:tc>
          <w:tcPr>
            <w:tcW w:type="dxa" w:w="2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Source retention period blank; hypercare ends 6 April 2027.</w:t>
            </w:r>
          </w:p>
        </w:tc>
        <w:tc>
          <w:tcPr>
            <w:tcW w:type="dxa" w:w="26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Needs an "agreed rollback period" and "agreed hypercare period".</w:t>
            </w:r>
          </w:p>
        </w:tc>
        <w:tc>
          <w:tcPr>
            <w:tcW w:type="dxa" w:w="281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Platform support during both periods.</w:t>
            </w:r>
          </w:p>
        </w:tc>
      </w:tr>
    </w:tbl>
    <w:p>
      <w:pPr>
        <w:spacing w:after="120"/>
      </w:pPr>
    </w:p>
    <w:p>
      <w:pPr>
        <w:pStyle w:val="Heading1"/>
      </w:pPr>
      <w:r>
        <w:t xml:space="preserve">1. Landing zone placement and subscription</w:t>
      </w:r>
    </w:p>
    <w:p>
      <w:pPr>
        <w:spacing w:after="120" w:line="276"/>
      </w:pPr>
      <w:r>
        <w:rPr>
          <w:rFonts w:ascii="Calibri" w:cs="Calibri" w:eastAsia="Calibri" w:hAnsi="Calibri"/>
          <w:sz w:val="21"/>
          <w:szCs w:val="21"/>
        </w:rPr>
        <w:t xml:space="preserve">The Execution Workflow cannot start Step 1 ("set the subscription, region, resource groups, names, tags and deployment identity") until these are fixed. In the playbook, Table 1.0 and Section 5.2 show all of them as not yet provided.</w:t>
      </w:r>
    </w:p>
    <w:p>
      <w:pPr>
        <w:pStyle w:val="Heading3"/>
      </w:pPr>
      <w:r>
        <w:t xml:space="preserve">Question 1</w:t>
      </w:r>
    </w:p>
    <w:p>
      <w:pPr>
        <w:spacing w:after="120" w:line="276"/>
      </w:pPr>
      <w:r>
        <w:rPr>
          <w:rFonts w:ascii="Calibri" w:cs="Calibri" w:eastAsia="Calibri" w:hAnsi="Calibri"/>
          <w:b/>
          <w:bCs/>
          <w:sz w:val="21"/>
          <w:szCs w:val="21"/>
        </w:rPr>
        <w:t xml:space="preserve">Which subscription will host Utility, does it already exist, and if it does not, when will it be provisioned?</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Section 10.3 of the playbook lists "Azure landing zone and target subscription confirmed" as a dependency owned by the GEHA cloud platform team, with the needed-by date "to be agreed" and status At Risk. The first prerequisite in the Execution Workflow ("Azure placement") is owned by Platform and is the entry condition for the whole foundation deployment.</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Subscription name and identifier, the subscription owner, and the date it will be available to the migration team. If it must be created, the lead time.</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prerequisites and Step 1; playbook Table 1.0, Section 5.2 and Section 10.3.</w:t>
      </w:r>
    </w:p>
    <w:p>
      <w:pPr>
        <w:pStyle w:val="Heading3"/>
      </w:pPr>
      <w:r>
        <w:t xml:space="preserve">Question 2</w:t>
      </w:r>
    </w:p>
    <w:p>
      <w:pPr>
        <w:spacing w:after="120" w:line="276"/>
      </w:pPr>
      <w:r>
        <w:rPr>
          <w:rFonts w:ascii="Calibri" w:cs="Calibri" w:eastAsia="Calibri" w:hAnsi="Calibri"/>
          <w:b/>
          <w:bCs/>
          <w:sz w:val="21"/>
          <w:szCs w:val="21"/>
        </w:rPr>
        <w:t xml:space="preserve">Where does that subscription sit in the management group hierarchy, and which of the 42 tenant policy assignments will apply to it, with what effect?</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Section 5.2 records that the tenant export shows 0 management groups and 95 subscriptions, alongside 42 policy assignments. That combination does not tell us what Utility will inherit. The Execution Workflow asks for the Bicep what-if output to be reviewed in Step 1, but some policies (for example, deny rules on naming, tags, public access or disk types) will not show in what-if and will only fail when Azure Migrate creates the virtual machines during the migration.</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management group path, and a list of the policy assignments at that scope with their effect (Deny, Deploy If Not Exists, Modify, Audit). Any exemption Utility will need, with its approver and expiry.</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1 (what-if review) and Step 5 (target settings); playbook Section 5.2 (inherited policy and exemptions).</w:t>
      </w:r>
    </w:p>
    <w:p>
      <w:pPr>
        <w:pStyle w:val="Heading3"/>
      </w:pPr>
      <w:r>
        <w:t xml:space="preserve">Question 3</w:t>
      </w:r>
    </w:p>
    <w:p>
      <w:pPr>
        <w:spacing w:after="120" w:line="276"/>
      </w:pPr>
      <w:r>
        <w:rPr>
          <w:rFonts w:ascii="Calibri" w:cs="Calibri" w:eastAsia="Calibri" w:hAnsi="Calibri"/>
          <w:b/>
          <w:bCs/>
          <w:sz w:val="21"/>
          <w:szCs w:val="21"/>
        </w:rPr>
        <w:t xml:space="preserve">Should development, test and production be placed in separate resource groups or subscriptions, and what are their names?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Execution Workflow runs the pipeline "for DEV/TEST first" and migrates production later, which implies separate deployment scopes. Playbook Section 5.2 leaves resource groups blank. Role assignments, policy, cost tags and auto-shutdown for non-production (Section 5.3) all depend on this boundary.</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Resource group (or subscription) names per environment and what lifecycle boundary each represents.</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1 and Step 2; playbook Sections 5.2 and 5.11.</w:t>
      </w:r>
    </w:p>
    <w:p>
      <w:pPr>
        <w:pStyle w:val="Heading3"/>
      </w:pPr>
      <w:r>
        <w:t xml:space="preserve">Question 4</w:t>
      </w:r>
    </w:p>
    <w:p>
      <w:pPr>
        <w:spacing w:after="120" w:line="276"/>
      </w:pPr>
      <w:r>
        <w:rPr>
          <w:rFonts w:ascii="Calibri" w:cs="Calibri" w:eastAsia="Calibri" w:hAnsi="Calibri"/>
          <w:b/>
          <w:bCs/>
          <w:sz w:val="21"/>
          <w:szCs w:val="21"/>
        </w:rPr>
        <w:t xml:space="preserve">Will the GEHA naming standard and mandatory tags accept Azure Migrate's default of using the source host name (for example LSUTILPRD101) as the Azure virtual machine name, and how will mandatory tags be applied to resources that Azure Migrate creates?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Execution Workflow states that Azure Migrate creates the migrated virtual machines and disks and that no empty virtual machines are built in the pipeline. So the naming and tagging rules must be met inside the Azure Migrate replication settings, not in Bicep. If a Deny policy requires a name pattern or tags that are not supplied, the migrate action fails inside the cutover window. Playbook Section 5.2 has naming standard and tagging requirements blank.</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naming convention and where it is published; the mandatory tags and their values for Utility (owner, cost centre, environment, criticality, data classification); and whether tags are applied by Azure Migrate settings, by a Modify policy, or after migration.</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5 and actions C04 and C05; playbook Sections 5.2 and 5.11 (chargeback tags).</w:t>
      </w:r>
    </w:p>
    <w:p>
      <w:pPr>
        <w:pStyle w:val="Heading3"/>
      </w:pPr>
      <w:r>
        <w:t xml:space="preserve">Question 5</w:t>
      </w:r>
    </w:p>
    <w:p>
      <w:pPr>
        <w:spacing w:after="120" w:line="276"/>
      </w:pPr>
      <w:r>
        <w:rPr>
          <w:rFonts w:ascii="Calibri" w:cs="Calibri" w:eastAsia="Calibri" w:hAnsi="Calibri"/>
          <w:b/>
          <w:bCs/>
          <w:sz w:val="21"/>
          <w:szCs w:val="21"/>
        </w:rPr>
        <w:t xml:space="preserve">Which Azure region and paired region will Utility use?</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Table 1.0 and Section 5.2 of the playbook show region as not provided; the playbook only points to the landing zone discovery meeting of 1 July 2026. The region decides where replication data lands, where backups and logs are held (Section 5.8 data residency), and whether scheduled jobs are affected by time zone (Section 5.15).</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Primary region and paired region, and confirmation that the landing zone hub for that region is in service.</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1 and Step 5; playbook Sections 5.2, 5.8 and 5.15.</w:t>
      </w:r>
    </w:p>
    <w:p>
      <w:pPr>
        <w:pStyle w:val="Heading1"/>
      </w:pPr>
      <w:r>
        <w:t xml:space="preserve">2. Capacity, sizing and disks</w:t>
      </w:r>
    </w:p>
    <w:p>
      <w:pPr>
        <w:spacing w:after="120" w:line="276"/>
      </w:pPr>
      <w:r>
        <w:rPr>
          <w:rFonts w:ascii="Calibri" w:cs="Calibri" w:eastAsia="Calibri" w:hAnsi="Calibri"/>
          <w:sz w:val="21"/>
          <w:szCs w:val="21"/>
        </w:rPr>
        <w:t xml:space="preserve">The Execution Workflow needs "final Azure virtual machine sizes and complete disk mapping" as a prerequisite owned by Platform and DevOps, and Step 3 checks that quota covers both the migration and the test virtual machines. The playbook leaves all sizing decisions open.</w:t>
      </w:r>
    </w:p>
    <w:p>
      <w:pPr>
        <w:pStyle w:val="Heading3"/>
      </w:pPr>
      <w:r>
        <w:t xml:space="preserve">Question 6</w:t>
      </w:r>
    </w:p>
    <w:p>
      <w:pPr>
        <w:spacing w:after="120" w:line="276"/>
      </w:pPr>
      <w:r>
        <w:rPr>
          <w:rFonts w:ascii="Calibri" w:cs="Calibri" w:eastAsia="Calibri" w:hAnsi="Calibri"/>
          <w:b/>
          <w:bCs/>
          <w:sz w:val="21"/>
          <w:szCs w:val="21"/>
        </w:rPr>
        <w:t xml:space="preserve">Is there enough processor quota, and are the chosen virtual machine sizes available in the target region and zones, for the eight servers plus the extra test virtual machines created during test migrations and rehearsals?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Matilda right-sizing in playbook Section 5.3 totals 24 processors and about 139 GB of memory across the eight servers. Each Azure Migrate test migration (Execution Workflow Step 7 and the production rehearsal) creates an additional virtual machine while the source keeps running, so peak demand is higher than the steady-state total. Section 5.2 asks for quota to be confirmed before design sign-off; it has not been.</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virtual machine family or families approved for Utility, available quota in the region, and zone availability for those sizes.</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3 (capacity check) and Step 7; playbook Sections 5.2 and 5.3.</w:t>
      </w:r>
    </w:p>
    <w:p>
      <w:pPr>
        <w:pStyle w:val="Heading3"/>
      </w:pPr>
      <w:r>
        <w:t xml:space="preserve">Question 7</w:t>
      </w:r>
    </w:p>
    <w:p>
      <w:pPr>
        <w:spacing w:after="120" w:line="276"/>
      </w:pPr>
      <w:r>
        <w:rPr>
          <w:rFonts w:ascii="Calibri" w:cs="Calibri" w:eastAsia="Calibri" w:hAnsi="Calibri"/>
          <w:b/>
          <w:bCs/>
          <w:sz w:val="21"/>
          <w:szCs w:val="21"/>
        </w:rPr>
        <w:t xml:space="preserve">Who approves the final size for each of the eight servers, and will sizes follow the current allocation or the right-sizing recommendation?</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Section 5.3 says SKU selection is "still open" and the right-sizing basis is unticked. Utilisation in Section 4.1.1 is only given in bands, not measured peaks. MSCOREOSPRD101 shows High average processor use on only 2 processors and 4 GB, so sizing it below current allocation would be risky, while other servers show Low use. The Matilda cost estimate of 799 US dollars a month depends on these choices.</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An approved size per server (eight rows) and who approved it, or the rule that will be used (for example "match allocation for this wave, right-size after steady state").</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prerequisites (virtual machine sizing and disks) and Step 5; playbook Sections 5.3 and 5.11.</w:t>
      </w:r>
    </w:p>
    <w:p>
      <w:pPr>
        <w:pStyle w:val="Heading3"/>
      </w:pPr>
      <w:r>
        <w:t xml:space="preserve">Question 8</w:t>
      </w:r>
    </w:p>
    <w:p>
      <w:pPr>
        <w:spacing w:after="120" w:line="276"/>
      </w:pPr>
      <w:r>
        <w:rPr>
          <w:rFonts w:ascii="Calibri" w:cs="Calibri" w:eastAsia="Calibri" w:hAnsi="Calibri"/>
          <w:b/>
          <w:bCs/>
          <w:sz w:val="21"/>
          <w:szCs w:val="21"/>
        </w:rPr>
        <w:t xml:space="preserve">Which managed disk types may Utility use, and is any disk type restricted by policy?</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Execution Workflow maps "every required operating system and data disk to its target disk type and size" in Step 5. Section 5.3 of the playbook has disk configuration blank. Section 4.1.1 shows High storage utilisation on NETBACKUPPRD101, SECADMUTLPRD101, OIMTST101 and OIMTST102, and NETBACKUPPRD101 alone has 1,330 GB across two disks.</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permitted disk types for production and non-production, and a disk-by-disk target (type and size) or the rule to apply.</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5 and validation test V10 (performance); playbook Section 5.3.</w:t>
      </w:r>
    </w:p>
    <w:p>
      <w:pPr>
        <w:pStyle w:val="Heading3"/>
      </w:pPr>
      <w:r>
        <w:t xml:space="preserve">Question 9</w:t>
      </w:r>
    </w:p>
    <w:p>
      <w:pPr>
        <w:spacing w:after="120" w:line="276"/>
      </w:pPr>
      <w:r>
        <w:rPr>
          <w:rFonts w:ascii="Calibri" w:cs="Calibri" w:eastAsia="Calibri" w:hAnsi="Calibri"/>
          <w:b/>
          <w:bCs/>
          <w:sz w:val="21"/>
          <w:szCs w:val="21"/>
        </w:rPr>
        <w:t xml:space="preserve">Should the production servers be spread across availability zones, and in particular should LSUTILPRD101 and LXUTILPRD101 go to different zones?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Today the two general production utility servers sit in different data centres (Lee's Summit and Lenexa), which gives site separation. Placing both in one zone would quietly remove that. Section 5.3 leaves availability design unticked and Section 3.3 has no Recovery Time Objective or availability target to design against, so the platform standard is the only guide.</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Availability design per server (zone number, availability set or single instance) and the uptime each gives.</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5 ("availability and security settings"); playbook Sections 5.3, 5.9 and 5.14.</w:t>
      </w:r>
    </w:p>
    <w:p>
      <w:pPr>
        <w:pStyle w:val="Heading3"/>
      </w:pPr>
      <w:r>
        <w:t xml:space="preserve">Question 10</w:t>
      </w:r>
    </w:p>
    <w:p>
      <w:pPr>
        <w:spacing w:after="120" w:line="276"/>
      </w:pPr>
      <w:r>
        <w:rPr>
          <w:rFonts w:ascii="Calibri" w:cs="Calibri" w:eastAsia="Calibri" w:hAnsi="Calibri"/>
          <w:b/>
          <w:bCs/>
          <w:sz w:val="21"/>
          <w:szCs w:val="21"/>
        </w:rPr>
        <w:t xml:space="preserve">Does GEHA policy require Trusted Launch or a particular security type for new virtual machines, and what happens if a source server boots with BIOS rather than UEFI?</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Playbook Section 5.3 notes that Trusted Launch needs a Generation 2 UEFI source, while Section 4.1.2 records the boot type of every server as not provided. The Execution Workflow requires boot mode to be reconciled during discovery (Step 4) and compatibility failures resolved before replication. If a policy enforces Trusted Launch and a server is BIOS-based, the migration would fail or need conversion.</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policy position on Trusted Launch and secure boot, and the exception route for any server that cannot meet it.</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source checks and Step 4; playbook Sections 4.1.2 and 5.3.</w:t>
      </w:r>
    </w:p>
    <w:p>
      <w:pPr>
        <w:pStyle w:val="Heading3"/>
      </w:pPr>
      <w:r>
        <w:t xml:space="preserve">Question 11</w:t>
      </w:r>
    </w:p>
    <w:p>
      <w:pPr>
        <w:spacing w:after="120" w:line="276"/>
      </w:pPr>
      <w:r>
        <w:rPr>
          <w:rFonts w:ascii="Calibri" w:cs="Calibri" w:eastAsia="Calibri" w:hAnsi="Calibri"/>
          <w:b/>
          <w:bCs/>
          <w:sz w:val="21"/>
          <w:szCs w:val="21"/>
        </w:rPr>
        <w:t xml:space="preserve">Is encryption with customer-managed keys or encryption at host required on managed disks? If so, which disk encryption set should Azure Migrate use?</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Section 5.8 of the playbook leaves encryption at rest unticked between platform-managed and customer-managed keys. Azure Migrate needs the disk encryption set to be chosen at replication time; it is not something to add at cutover.</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Encryption requirement, disk encryption set resource identifier if needed, and the key custodian.</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5; playbook Section 5.8.</w:t>
      </w:r>
    </w:p>
    <w:p>
      <w:pPr>
        <w:pStyle w:val="Heading1"/>
      </w:pPr>
      <w:r>
        <w:t xml:space="preserve">3. Network, addressing and name resolution</w:t>
      </w:r>
    </w:p>
    <w:p>
      <w:pPr>
        <w:spacing w:after="120" w:line="276"/>
      </w:pPr>
      <w:r>
        <w:rPr>
          <w:rFonts w:ascii="Calibri" w:cs="Calibri" w:eastAsia="Calibri" w:hAnsi="Calibri"/>
          <w:sz w:val="21"/>
          <w:szCs w:val="21"/>
        </w:rPr>
        <w:t xml:space="preserve">Five of the fifteen prerequisites in the Execution Workflow are network items (virtual network and subnet, IP addressing, ExpressRoute, firewall and security groups, name resolution and Active Directory), and its "required network handoff" asks for approved host-level rules, routes, Domain Name System records, target IP addresses, test results and rollback values. Playbook Section 5.6 records only the programme position (hub with Azure Firewall Premium, ExpressRoute); everything specific to Utility is blank. Some of these questions are shared with the Network team.</w:t>
      </w:r>
    </w:p>
    <w:p>
      <w:pPr>
        <w:pStyle w:val="Heading3"/>
      </w:pPr>
      <w:r>
        <w:t xml:space="preserve">Question 12</w:t>
      </w:r>
    </w:p>
    <w:p>
      <w:pPr>
        <w:spacing w:after="120" w:line="276"/>
      </w:pPr>
      <w:r>
        <w:rPr>
          <w:rFonts w:ascii="Calibri" w:cs="Calibri" w:eastAsia="Calibri" w:hAnsi="Calibri"/>
          <w:b/>
          <w:bCs/>
          <w:sz w:val="21"/>
          <w:szCs w:val="21"/>
        </w:rPr>
        <w:t xml:space="preserve">Which virtual network and subnets will Utility use: a new Utility spoke, or subnets in an existing shared spoke? What are the address ranges?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Execution Workflow says to "reuse the ready platform network" and "reference existing shared platform resources", yet playbook Section 5.6 leaves the virtual network, address space and subnets blank and asks for confirmation that ranges do not overlap with on-premises or peered ranges.</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Virtual network resource identifier, subnet names and ranges per environment (production, non-production, isolated test), and confirmation of no overlap with Lee's Summit and Lenexa ranges.</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prerequisites (virtual network and subnet) and Step 1; playbook Section 5.6.</w:t>
      </w:r>
    </w:p>
    <w:p>
      <w:pPr>
        <w:pStyle w:val="Heading3"/>
      </w:pPr>
      <w:r>
        <w:t xml:space="preserve">Question 13</w:t>
      </w:r>
    </w:p>
    <w:p>
      <w:pPr>
        <w:spacing w:after="120" w:line="276"/>
      </w:pPr>
      <w:r>
        <w:rPr>
          <w:rFonts w:ascii="Calibri" w:cs="Calibri" w:eastAsia="Calibri" w:hAnsi="Calibri"/>
          <w:b/>
          <w:bCs/>
          <w:sz w:val="21"/>
          <w:szCs w:val="21"/>
        </w:rPr>
        <w:t xml:space="preserve">Can a private IP address be reserved for each of the eight servers before replication is enabled, and who issues the source-to-target IP mapping?</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Execution Workflow lists "approved address ranges and source-to-target IP mapping" as a prerequisite and sets the target subnet in Step 5. The servers talk to Orion, System Center Configuration Manager, the Remote Desktop licence server, ServiceNow, Citrix and Ansible (playbook Section 4.7), and those far-side systems may allowlist by address. Knowing the new addresses early lets allowlists be pre-staged, which the playbook asks for in Section 5.13. The playbook narrative says there is no static IP dependency, but the table in Section 4.1.2 still marks it as unconfirmed.</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target IP address for each server and confirmation that it can be set as static in the Azure Migrate replication settings.</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5, actions C05 and C06, and rollback action R05; playbook Sections 4.1.2, 5.6 and 5.13.</w:t>
      </w:r>
    </w:p>
    <w:p>
      <w:pPr>
        <w:pStyle w:val="Heading3"/>
      </w:pPr>
      <w:r>
        <w:t xml:space="preserve">Question 14</w:t>
      </w:r>
    </w:p>
    <w:p>
      <w:pPr>
        <w:spacing w:after="120" w:line="276"/>
      </w:pPr>
      <w:r>
        <w:rPr>
          <w:rFonts w:ascii="Calibri" w:cs="Calibri" w:eastAsia="Calibri" w:hAnsi="Calibri"/>
          <w:b/>
          <w:bCs/>
          <w:sz w:val="21"/>
          <w:szCs w:val="21"/>
        </w:rPr>
        <w:t xml:space="preserve">How will the isolated test subnet be built, and what can a test copy of a domain-joined server reach from it?</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Every test migration and production rehearsal in the Execution Workflow runs in the isolated test subnet while the source server is still live (Step 7). The test copy has the same host name and the same Active Directory computer account as the live source. If it can reach production domain controllers, it can register duplicate name records and disturb the live server's computer account. If it can reach nothing, validation test V02 (domain and service account authentication) cannot run in test. Step 3 also requires that the test subnet "cannot perform uncontrolled production work", and Step 7 requires duplicate jobs, outbound integrations and production writes to be prevented. Playbook Section 6.4 leaves the test environment blank.</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isolated subnet design: its network security group rules, whether a test domain controller or other safe dependencies exist in it, how name resolution works there, and how testers reach the test virtual machines.</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3 (isolation check), Step 7 and the production rehearsal; playbook Sections 6.4 and 6.5.</w:t>
      </w:r>
    </w:p>
    <w:p>
      <w:pPr>
        <w:pStyle w:val="Heading3"/>
      </w:pPr>
      <w:r>
        <w:t xml:space="preserve">Question 15</w:t>
      </w:r>
    </w:p>
    <w:p>
      <w:pPr>
        <w:spacing w:after="120" w:line="276"/>
      </w:pPr>
      <w:r>
        <w:rPr>
          <w:rFonts w:ascii="Calibri" w:cs="Calibri" w:eastAsia="Calibri" w:hAnsi="Calibri"/>
          <w:b/>
          <w:bCs/>
          <w:sz w:val="21"/>
          <w:szCs w:val="21"/>
        </w:rPr>
        <w:t xml:space="preserve">How will the Utility spoke connect to the secured virtual hub, and will traffic between on-premises and Utility, and between Utility and other spokes, be forced through Azure Firewall?</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programme network position (playbook Sections 4.6.1 and 5.6) is that each region has a secured virtual hub with Azure Firewall and that on-premises traffic arrives through Palo Alto firewalls, Megaport and ExpressRoute. Execution Workflow Step 2 asks to "verify the ExpressRoute path and return routing through the required inspection points". Without knowing the routing design we cannot tell which inspection points a flow crosses, or rule out one-way routing that drops return traffic.</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spoke connection and routing design (routing intent or route tables), and for a typical flow such as System Center Configuration Manager to LSUTILPRD101, the inspection points it passes on the way in and on the way back.</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prerequisites (ExpressRoute) and Step 2; validation test V03; playbook Section 5.6 (route tables and forced tunnelling).</w:t>
      </w:r>
    </w:p>
    <w:p>
      <w:pPr>
        <w:pStyle w:val="Heading3"/>
      </w:pPr>
      <w:r>
        <w:t xml:space="preserve">Question 16</w:t>
      </w:r>
    </w:p>
    <w:p>
      <w:pPr>
        <w:spacing w:after="120" w:line="276"/>
      </w:pPr>
      <w:r>
        <w:rPr>
          <w:rFonts w:ascii="Calibri" w:cs="Calibri" w:eastAsia="Calibri" w:hAnsi="Calibri"/>
          <w:b/>
          <w:bCs/>
          <w:sz w:val="21"/>
          <w:szCs w:val="21"/>
        </w:rPr>
        <w:t xml:space="preserve">Who writes and approves the Azure Firewall rules for Utility, and are they added by the Utility Bicep deployment or by a platform-owned pipeline? What is the lead time?</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playbook records from the network discovery session that Azure Firewall rules are managed through Bicep during application deployment. The Execution Workflow applies "approved NSG and Azure Firewall rules" in Step 2 and needs a host-level flow matrix first, stating that "discovery port values alone are not approved firewall rules". The ports seen in discovery (Section 4.6: 443, 389, 135 and dynamic ports 49667 to 49670, 8089, 9998) include remote procedure call traffic that needs a decision on high-port ranges. The matching on-premises Palo Alto changes also have to be raised somewhere.</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owner of the firewall policy, whether Utility rule collections live in the Utility Bicep or a central repository, the approval route and lead time, and where the corresponding Palo Alto changes are requested.</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Section 1.1 (network handoff) and Step 2; playbook Sections 4.6 and 5.6.</w:t>
      </w:r>
    </w:p>
    <w:p>
      <w:pPr>
        <w:pStyle w:val="Heading3"/>
      </w:pPr>
      <w:r>
        <w:t xml:space="preserve">Question 17</w:t>
      </w:r>
    </w:p>
    <w:p>
      <w:pPr>
        <w:spacing w:after="120" w:line="276"/>
      </w:pPr>
      <w:r>
        <w:rPr>
          <w:rFonts w:ascii="Calibri" w:cs="Calibri" w:eastAsia="Calibri" w:hAnsi="Calibri"/>
          <w:b/>
          <w:bCs/>
          <w:sz w:val="21"/>
          <w:szCs w:val="21"/>
        </w:rPr>
        <w:t xml:space="preserve">While production servers are cut over one at a time, will temporary rules across ExpressRoute be allowed between servers that have moved and servers still on-premises, and how are they removed?</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Execution Workflow cuts over production "for each host or move group" in dependency order, so for a period some Utility servers will be in Azure and their dependents will not. One example: the vCenter backup tag on LSUTILPRD101 reads "ansiblehost" (playbook Section 4.11), which suggests it may be the Ansible host that connects by Secure Shell to NETBACKUPPRD101. If those two move on different days, the Secure Shell flow must cross ExpressRoute for a while.</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policy for interim rules, who raises them, and how they are tracked for removal after the last server moves.</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Section 7 (dependency-based order) and action C07; playbook Sections 4.7, 4.11 and 6.1.</w:t>
      </w:r>
    </w:p>
    <w:p>
      <w:pPr>
        <w:pStyle w:val="Heading3"/>
      </w:pPr>
      <w:r>
        <w:t xml:space="preserve">Question 18</w:t>
      </w:r>
    </w:p>
    <w:p>
      <w:pPr>
        <w:spacing w:after="120" w:line="276"/>
      </w:pPr>
      <w:r>
        <w:rPr>
          <w:rFonts w:ascii="Calibri" w:cs="Calibri" w:eastAsia="Calibri" w:hAnsi="Calibri"/>
          <w:b/>
          <w:bCs/>
          <w:sz w:val="21"/>
          <w:szCs w:val="21"/>
        </w:rPr>
        <w:t xml:space="preserve">What will the Utility virtual network use for name resolution, who changes the name records at cutover, and can time-to-live values be lowered in advance?</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Execution Workflow Step 2 sets "the approved DNS resolver configuration" and prepares target address and pointer records, keeping live records unchanged until cutover. Action C06 applies the changes and R05 reverses them. Playbook Section 4.6 notes GEHA has 144 zones and that time-to-live values are not in the export; Appendix B item 14 (zone and firewall exports) is due 30 September 2026.</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name server setting for the Utility virtual network (domain controllers, Azure DNS Private Resolver or other), the owner of Utility's records, and the process and lead time for lowering time-to-live values before cutover.</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2, actions C06 and C07, rollback action R05 and validation test V02; playbook Sections 4.6 and 5.6.</w:t>
      </w:r>
    </w:p>
    <w:p>
      <w:pPr>
        <w:pStyle w:val="Heading3"/>
      </w:pPr>
      <w:r>
        <w:t xml:space="preserve">Question 19</w:t>
      </w:r>
    </w:p>
    <w:p>
      <w:pPr>
        <w:spacing w:after="120" w:line="276"/>
      </w:pPr>
      <w:r>
        <w:rPr>
          <w:rFonts w:ascii="Calibri" w:cs="Calibri" w:eastAsia="Calibri" w:hAnsi="Calibri"/>
          <w:b/>
          <w:bCs/>
          <w:sz w:val="21"/>
          <w:szCs w:val="21"/>
        </w:rPr>
        <w:t xml:space="preserve">Will Utility servers be allowed outbound internet access through Azure Firewall, and if so, by web address allowlist or by category?</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Playbook Section 5.6 records that server outbound traffic goes through Azure Firewall and that web address filtering and Transport Layer Security inspection are not enabled. Utility's purpose is to let support teams install administrative tools (Section 4), which often means downloading from vendor sites. Section 4.6 also shows 85 rows of outbound traffic on port 443 and eight endpoints outside the network. If outbound access is blocked by default, the jump servers lose part of their function after cutover.</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outbound access rule for Utility servers and how new destinations are requested.</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validation tests V03 and V04; playbook Sections 4.6 and 5.6.</w:t>
      </w:r>
    </w:p>
    <w:p>
      <w:pPr>
        <w:pStyle w:val="Heading1"/>
      </w:pPr>
      <w:r>
        <w:t xml:space="preserve">4. Azure Migrate and replication</w:t>
      </w:r>
    </w:p>
    <w:p>
      <w:pPr>
        <w:spacing w:after="120" w:line="276"/>
      </w:pPr>
      <w:r>
        <w:rPr>
          <w:rFonts w:ascii="Calibri" w:cs="Calibri" w:eastAsia="Calibri" w:hAnsi="Calibri"/>
          <w:sz w:val="21"/>
          <w:szCs w:val="21"/>
        </w:rPr>
        <w:t xml:space="preserve">The Execution Workflow relies entirely on Azure Migrate for discovery, replication, test migration and migration. Playbook Appendix B item 01 (Azure Migrate project access and first discovery export) is blocking and overdue, and Section 6.3 leaves the replication set-up blank.</w:t>
      </w:r>
    </w:p>
    <w:p>
      <w:pPr>
        <w:pStyle w:val="Heading3"/>
      </w:pPr>
      <w:r>
        <w:t xml:space="preserve">Question 20</w:t>
      </w:r>
    </w:p>
    <w:p>
      <w:pPr>
        <w:spacing w:after="120" w:line="276"/>
      </w:pPr>
      <w:r>
        <w:rPr>
          <w:rFonts w:ascii="Calibri" w:cs="Calibri" w:eastAsia="Calibri" w:hAnsi="Calibri"/>
          <w:b/>
          <w:bCs/>
          <w:sz w:val="21"/>
          <w:szCs w:val="21"/>
        </w:rPr>
        <w:t xml:space="preserve">Which subscription, region and resource group hold the Azure Migrate project, is it the one reported as deployed on 26 July, and when will the migration team have access?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Appendix B item 01 says access to the project is needed to corroborate an attested deployment and to close the G1 gate; its due date has already been moved once, to 5 September 2026. Execution Workflow Step 4 starts by opening "the approved Azure Migrate project".</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Project name and location, and the role granted to the migration team.</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prerequisites (Azure Migrate) and Step 4; playbook Appendix B item 01 and Section 10.4.</w:t>
      </w:r>
    </w:p>
    <w:p>
      <w:pPr>
        <w:pStyle w:val="Heading3"/>
      </w:pPr>
      <w:r>
        <w:t xml:space="preserve">Question 21</w:t>
      </w:r>
    </w:p>
    <w:p>
      <w:pPr>
        <w:spacing w:after="120" w:line="276"/>
      </w:pPr>
      <w:r>
        <w:rPr>
          <w:rFonts w:ascii="Calibri" w:cs="Calibri" w:eastAsia="Calibri" w:hAnsi="Calibri"/>
          <w:b/>
          <w:bCs/>
          <w:sz w:val="21"/>
          <w:szCs w:val="21"/>
        </w:rPr>
        <w:t xml:space="preserve">Does the VMware appliance cover the vCenter servers at both Lee's Summit and Lenexa, or is there one appliance per site? Is it healthy and able to reach the ESXi hosts on port 902?</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eight servers are split across both data centres, and the playbook's server inventory is held on separate Lee's Summit and Lenexa tabs. The Execution Workflow requires the appliance to reach vCenter on port 443, the ESXi hosts on port 902 for replication data, and Azure on port 443 (Section 1.1), and Step 4 checks appliance health, time and name resolution.</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Appliance names, the vCenter servers each one is connected to, last successful discovery date, and confirmation that all eight host names appear in discovery.</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Section 1.1 and Step 4; playbook Section 6.3.</w:t>
      </w:r>
    </w:p>
    <w:p>
      <w:pPr>
        <w:pStyle w:val="Heading3"/>
      </w:pPr>
      <w:r>
        <w:t xml:space="preserve">Question 22</w:t>
      </w:r>
    </w:p>
    <w:p>
      <w:pPr>
        <w:spacing w:after="120" w:line="276"/>
      </w:pPr>
      <w:r>
        <w:rPr>
          <w:rFonts w:ascii="Calibri" w:cs="Calibri" w:eastAsia="Calibri" w:hAnsi="Calibri"/>
          <w:b/>
          <w:bCs/>
          <w:sz w:val="21"/>
          <w:szCs w:val="21"/>
        </w:rPr>
        <w:t xml:space="preserve">Will replication traffic travel over ExpressRoute using private endpoints, or over the internet? How much bandwidth can it use, and will it be throttled in business hours?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initial seed is about 2,823 GB (playbook Section 6.3), and the note says this wave is outside the pre-seed window. The network discovery minutes flagged the ExpressRoute uplink as a timeline risk and suggested VPN or publicly reachable storage as a bypass, which may itself be blocked by policies that deny public network access. Execution Workflow Step 6 says to coordinate snapshot activity and bandwidth with VMware and Network.</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replication path decision, whether a private endpoint is configured for the project, the bandwidth available and any throttling schedule.</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6; playbook Section 6.3 (available bandwidth, delta lag, throttling).</w:t>
      </w:r>
    </w:p>
    <w:p>
      <w:pPr>
        <w:pStyle w:val="Heading3"/>
      </w:pPr>
      <w:r>
        <w:t xml:space="preserve">Question 23</w:t>
      </w:r>
    </w:p>
    <w:p>
      <w:pPr>
        <w:spacing w:after="120" w:line="276"/>
      </w:pPr>
      <w:r>
        <w:rPr>
          <w:rFonts w:ascii="Calibri" w:cs="Calibri" w:eastAsia="Calibri" w:hAnsi="Calibri"/>
          <w:b/>
          <w:bCs/>
          <w:sz w:val="21"/>
          <w:szCs w:val="21"/>
        </w:rPr>
        <w:t xml:space="preserve">Will the storage accounts and other resources that Azure Migrate creates on its own during replication be allowed by policy, or should they be created in advance?</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Azure Migrate creates supporting resources in the project subscription when replication is enabled. If tenant policies deny public network access, require private endpoints, require customer-managed keys or enforce naming and tags, replication can fail at Step 6 even though the Bicep what-if in Step 1 looked clean. This ties back to the 42 policy assignments noted in Section 5.2.</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Confirmation that these resources are compliant, or a pre-approved exemption, or pre-created resources for Azure Migrate to use.</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6; playbook Sections 5.2 and 6.3.</w:t>
      </w:r>
    </w:p>
    <w:p>
      <w:pPr>
        <w:pStyle w:val="Heading3"/>
      </w:pPr>
      <w:r>
        <w:t xml:space="preserve">Question 24</w:t>
      </w:r>
    </w:p>
    <w:p>
      <w:pPr>
        <w:spacing w:after="120" w:line="276"/>
      </w:pPr>
      <w:r>
        <w:rPr>
          <w:rFonts w:ascii="Calibri" w:cs="Calibri" w:eastAsia="Calibri" w:hAnsi="Calibri"/>
          <w:b/>
          <w:bCs/>
          <w:sz w:val="21"/>
          <w:szCs w:val="21"/>
        </w:rPr>
        <w:t xml:space="preserve">What Azure roles will the migration team and the pipeline identity receive, at which scope, and is privileged identity management activation required?</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Execution Workflow prerequisites list "Migration permissions: Azure, appliance, repository and pipeline access approved" under Platform and DevOps, and Step 1 sets the deployment identity. The playbook RACI (Section 9) makes Platform and Cloud accountable and responsible for landing zone placement, while Section 5.2 (role-based access for the workload team) and Section 5.7 (Azure role assignments) are blank.</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Role, scope and assignee for the migration team, the Azure Migrate project and the deployment identity, and any activation or approval step.</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prerequisites and Steps 1, 4 and 5; playbook Sections 5.2, 5.7 and 9.</w:t>
      </w:r>
    </w:p>
    <w:p>
      <w:pPr>
        <w:pStyle w:val="Heading3"/>
      </w:pPr>
      <w:r>
        <w:t xml:space="preserve">Question 25</w:t>
      </w:r>
    </w:p>
    <w:p>
      <w:pPr>
        <w:spacing w:after="120" w:line="276"/>
      </w:pPr>
      <w:r>
        <w:rPr>
          <w:rFonts w:ascii="Calibri" w:cs="Calibri" w:eastAsia="Calibri" w:hAnsi="Calibri"/>
          <w:b/>
          <w:bCs/>
          <w:sz w:val="21"/>
          <w:szCs w:val="21"/>
        </w:rPr>
        <w:t xml:space="preserve">Has the platform team confirmed that Windows Server 2025 (MSCOREOSPRD101) and Red Hat Enterprise Linux 9.0 (NETBACKUPPRD101) are supported by the current Azure Migrate agentless VMware process and by the landing zone images and extensions?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Execution Workflow says to verify VMware, operating system and boot compatibility before replication and to resolve failures before going further. Playbook Section 4.1.2 notes that the Linux server changes the Azure Migrate tooling path. These are the newest and the only non-Windows operating systems in the group, so they are the most likely to hit a gap in the support matrix or in platform extensions.</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Confirmation against the current support matrix, and the owner of any remediation.</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source checks and Step 4; playbook Section 4.1.2.</w:t>
      </w:r>
    </w:p>
    <w:p>
      <w:pPr>
        <w:pStyle w:val="Heading1"/>
      </w:pPr>
      <w:r>
        <w:t xml:space="preserve">5. Identity and administrative access</w:t>
      </w:r>
    </w:p>
    <w:p>
      <w:pPr>
        <w:spacing w:after="120" w:line="276"/>
      </w:pPr>
      <w:r>
        <w:rPr>
          <w:rFonts w:ascii="Calibri" w:cs="Calibri" w:eastAsia="Calibri" w:hAnsi="Calibri"/>
          <w:sz w:val="21"/>
          <w:szCs w:val="21"/>
        </w:rPr>
        <w:t xml:space="preserve">The Execution Workflow requires that "resolver and domain connectivity [are] tested from Azure" and that the "intended private administration path" is verified in Step 2. Playbook Section 5.7 has the directory model unticked and everything below it blank.</w:t>
      </w:r>
    </w:p>
    <w:p>
      <w:pPr>
        <w:pStyle w:val="Heading3"/>
      </w:pPr>
      <w:r>
        <w:t xml:space="preserve">Question 26</w:t>
      </w:r>
    </w:p>
    <w:p>
      <w:pPr>
        <w:spacing w:after="120" w:line="276"/>
      </w:pPr>
      <w:r>
        <w:rPr>
          <w:rFonts w:ascii="Calibri" w:cs="Calibri" w:eastAsia="Calibri" w:hAnsi="Calibri"/>
          <w:b/>
          <w:bCs/>
          <w:sz w:val="21"/>
          <w:szCs w:val="21"/>
        </w:rPr>
        <w:t xml:space="preserve">Will the Utility servers stay joined to the on-premises Active Directory domain, and which domain controllers will they authenticate against from Azure?</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Playbook Section 4.5.1 points out that Windows integrated authentication and directory binds keep working only if the servers stay domain-joined with line of sight to a domain controller, and calls it a directory decision rather than a networking one. Validation test V02 in the Execution Workflow proves domain and service account authentication. If the only domain controllers are in the data centres being exited, Utility's sign-in depends on ExpressRoute and on those controllers staying in place.</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directory model for Utility, the domain controllers reachable from the Utility subnets (in Azure or on-premises), and whether the Utility subnets will be added to Active Directory sites so servers use the nearest controller.</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prerequisites (Domain Name System and Active Directory), Step 2 and validation test V02; playbook Sections 4.5.1 and 5.7.</w:t>
      </w:r>
    </w:p>
    <w:p>
      <w:pPr>
        <w:pStyle w:val="Heading3"/>
      </w:pPr>
      <w:r>
        <w:t xml:space="preserve">Question 27</w:t>
      </w:r>
    </w:p>
    <w:p>
      <w:pPr>
        <w:spacing w:after="120" w:line="276"/>
      </w:pPr>
      <w:r>
        <w:rPr>
          <w:rFonts w:ascii="Calibri" w:cs="Calibri" w:eastAsia="Calibri" w:hAnsi="Calibri"/>
          <w:b/>
          <w:bCs/>
          <w:sz w:val="21"/>
          <w:szCs w:val="21"/>
        </w:rPr>
        <w:t xml:space="preserve">How will support teams reach the Utility jump servers after the move: direct Remote Desktop over ExpressRoute from the corporate network, Zscaler Private Access, or Azure Bastion?</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Being reached by support teams is the whole purpose of Utility. The Execution Workflow asks to verify "the intended private administration path" in Step 2 without naming it. The playbook firewall minutes say Zscaler is used for user traffic only. Playbook Section 4.3 states that no Remote Desktop listener was observed on the hosts, which does not fit jump servers and needs checking, and Section 4.6.1 leaves remote access unanswered.</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chosen administration path, the network rules and licences it needs, and who provisions it.</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2 and validation test V04; playbook Sections 4.3, 4.6.1 and 5.7.</w:t>
      </w:r>
    </w:p>
    <w:p>
      <w:pPr>
        <w:pStyle w:val="Heading3"/>
      </w:pPr>
      <w:r>
        <w:t xml:space="preserve">Question 28</w:t>
      </w:r>
    </w:p>
    <w:p>
      <w:pPr>
        <w:spacing w:after="120" w:line="276"/>
      </w:pPr>
      <w:r>
        <w:rPr>
          <w:rFonts w:ascii="Calibri" w:cs="Calibri" w:eastAsia="Calibri" w:hAnsi="Calibri"/>
          <w:b/>
          <w:bCs/>
          <w:sz w:val="21"/>
          <w:szCs w:val="21"/>
        </w:rPr>
        <w:t xml:space="preserve">What role-based access and privileged access controls will apply to administering the Utility virtual machines in Azure (for example, who can start, stop, resize or connect, and whether just-in-time access is used)?</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Playbook Section 5.7 leaves Azure role assignments, privileged access and break-glass access blank, and Section 7.5 asks for break-glass access to be tested before the window. The RACI in Section 9 makes Security accountable for identity, with Platform consulted.</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Role assignments for operators, whether just-in-time or privileged identity management is used, and the break-glass arrangement for these virtual machines.</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actions C05 and R03; playbook Sections 5.7, 7.5 and 9.</w:t>
      </w:r>
    </w:p>
    <w:p>
      <w:pPr>
        <w:pStyle w:val="Heading1"/>
      </w:pPr>
      <w:r>
        <w:t xml:space="preserve">6. Infrastructure as Code and the deployment pipeline</w:t>
      </w:r>
    </w:p>
    <w:p>
      <w:pPr>
        <w:spacing w:after="120" w:line="276"/>
      </w:pPr>
      <w:r>
        <w:rPr>
          <w:rFonts w:ascii="Calibri" w:cs="Calibri" w:eastAsia="Calibri" w:hAnsi="Calibri"/>
          <w:sz w:val="21"/>
          <w:szCs w:val="21"/>
        </w:rPr>
        <w:t xml:space="preserve">The Execution Workflow is specific here (Bicep, parameter file, what-if, pipeline), while playbook Section 5.12 has every field blank. These questions close that gap.</w:t>
      </w:r>
    </w:p>
    <w:p>
      <w:pPr>
        <w:pStyle w:val="Heading3"/>
      </w:pPr>
      <w:r>
        <w:t xml:space="preserve">Question 29</w:t>
      </w:r>
    </w:p>
    <w:p>
      <w:pPr>
        <w:spacing w:after="120" w:line="276"/>
      </w:pPr>
      <w:r>
        <w:rPr>
          <w:rFonts w:ascii="Calibri" w:cs="Calibri" w:eastAsia="Calibri" w:hAnsi="Calibri"/>
          <w:b/>
          <w:bCs/>
          <w:sz w:val="21"/>
          <w:szCs w:val="21"/>
        </w:rPr>
        <w:t xml:space="preserve">Which repository, Utility parameter file and pipeline will be used, and who approves a run into production?</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Execution Workflow Step 1 opens "the approved repository" and selects "the Utility environment parameter file", and Step 2 runs "the approved pipeline". Playbook Section 5.12 asks for tooling, repository, pipeline and approvals, all blank.</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Repository location and access, parameter file path, pipeline name, approval gates, and where deployment state and secrets are held.</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Steps 1 and 2; playbook Section 5.12.</w:t>
      </w:r>
    </w:p>
    <w:p>
      <w:pPr>
        <w:pStyle w:val="Heading3"/>
      </w:pPr>
      <w:r>
        <w:t xml:space="preserve">Question 30</w:t>
      </w:r>
    </w:p>
    <w:p>
      <w:pPr>
        <w:spacing w:after="120" w:line="276"/>
      </w:pPr>
      <w:r>
        <w:rPr>
          <w:rFonts w:ascii="Calibri" w:cs="Calibri" w:eastAsia="Calibri" w:hAnsi="Calibri"/>
          <w:b/>
          <w:bCs/>
          <w:sz w:val="21"/>
          <w:szCs w:val="21"/>
        </w:rPr>
        <w:t xml:space="preserve">Which shared platform resources must the Utility templates reference, and which resources does Utility own and create?</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Step 1 says to "reference existing shared platform resources" and Step 2 says to "deploy the Utility-owned resources and associations; reuse the ready platform network". The boundary between the two is not written down anywhere. Getting it wrong either duplicates platform resources or lets an application pipeline change shared ones.</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A list of shared resource identifiers to reference (virtual network, route tables, firewall policy, name resolution, Log Analytics workspace, key vault) and a list of resources the Utility deployment owns.</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Steps 1 and 2; playbook Sections 5.6 and 5.12.</w:t>
      </w:r>
    </w:p>
    <w:p>
      <w:pPr>
        <w:pStyle w:val="Heading3"/>
      </w:pPr>
      <w:r>
        <w:t xml:space="preserve">Question 31</w:t>
      </w:r>
    </w:p>
    <w:p>
      <w:pPr>
        <w:spacing w:after="120" w:line="276"/>
      </w:pPr>
      <w:r>
        <w:rPr>
          <w:rFonts w:ascii="Calibri" w:cs="Calibri" w:eastAsia="Calibri" w:hAnsi="Calibri"/>
          <w:b/>
          <w:bCs/>
          <w:sz w:val="21"/>
          <w:szCs w:val="21"/>
        </w:rPr>
        <w:t xml:space="preserve">Once Azure Migrate has created the virtual machines outside the pipeline, how will they be brought under Infrastructure as Code and drift detection?</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Execution Workflow deliberately keeps virtual machines out of the pipeline. Playbook Section 5.12 asks for configuration drift detection and Section 8.2 asks for a configuration baseline to be recorded in code or exported. Without a plan, the eight virtual machines will be the one part of Utility that no template describes.</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approach (for example, export and import into the Bicep repository after acceptance, or policy-based drift reporting) and who owns it.</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10 (handover of pipeline and deployment outputs); playbook Sections 5.12 and 8.2.</w:t>
      </w:r>
    </w:p>
    <w:p>
      <w:pPr>
        <w:pStyle w:val="Heading1"/>
      </w:pPr>
      <w:r>
        <w:t xml:space="preserve">7. Operations onboarding: monitoring, security, patching and backup</w:t>
      </w:r>
    </w:p>
    <w:p>
      <w:pPr>
        <w:spacing w:after="120" w:line="276"/>
      </w:pPr>
      <w:r>
        <w:rPr>
          <w:rFonts w:ascii="Calibri" w:cs="Calibri" w:eastAsia="Calibri" w:hAnsi="Calibri"/>
          <w:sz w:val="21"/>
          <w:szCs w:val="21"/>
        </w:rPr>
        <w:t xml:space="preserve">The Execution Workflow needs "agent onboarding, destinations and policies prepared" before cutover, and validation tests V08 and V09 prove monitoring, security and backup work. The playbook says only that Utility "inherits the platform standard" for monitoring, and that Azure Backup has been withdrawn.</w:t>
      </w:r>
    </w:p>
    <w:p>
      <w:pPr>
        <w:pStyle w:val="Heading3"/>
      </w:pPr>
      <w:r>
        <w:t xml:space="preserve">Question 32</w:t>
      </w:r>
    </w:p>
    <w:p>
      <w:pPr>
        <w:spacing w:after="120" w:line="276"/>
      </w:pPr>
      <w:r>
        <w:rPr>
          <w:rFonts w:ascii="Calibri" w:cs="Calibri" w:eastAsia="Calibri" w:hAnsi="Calibri"/>
          <w:b/>
          <w:bCs/>
          <w:sz w:val="21"/>
          <w:szCs w:val="21"/>
        </w:rPr>
        <w:t xml:space="preserve">Which Log Analytics workspace will Utility report to, is the monitoring agent installed automatically by policy, and which alerts and action groups come with the platform standard?</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Playbook Section 5.10 says Utility inherits the platform standard workspace, but diagnostic settings, guest metrics, alert rules and action groups are blank. Validation test V08 requires "a test alert reaching the assigned owner", and gate criterion "monitoring and alerting live in the target" in Section 7.1 needs evidence.</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Workspace resource identifier, how the agent and data collection rules are applied, the default alerts, and how Utility's owner is added to an action group.</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2 (prepare onboarding), action C09 and validation test V08; playbook Sections 5.10 and 7.1.</w:t>
      </w:r>
    </w:p>
    <w:p>
      <w:pPr>
        <w:pStyle w:val="Heading3"/>
      </w:pPr>
      <w:r>
        <w:t xml:space="preserve">Question 33</w:t>
      </w:r>
    </w:p>
    <w:p>
      <w:pPr>
        <w:spacing w:after="120" w:line="276"/>
      </w:pPr>
      <w:r>
        <w:rPr>
          <w:rFonts w:ascii="Calibri" w:cs="Calibri" w:eastAsia="Calibri" w:hAnsi="Calibri"/>
          <w:b/>
          <w:bCs/>
          <w:sz w:val="21"/>
          <w:szCs w:val="21"/>
        </w:rPr>
        <w:t xml:space="preserve">Do the Splunk forwarder and Rapid7 agent already on the servers remain the standard in Azure, and can they reach their collectors from the Utility subnets, or will Microsoft Defender for Servers replace or sit alongside them?</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Discovery found splunkd.exe, ir_agent.exe and the Rapid7 endpoint broker running on the hosts (playbook Table 1.0 and Section 4.2), and outbound traffic on port 8089 (Section 4.6). Playbook Section 5.8 leaves endpoint protection and security log collection blank. If a platform policy installs a second agent automatically, the servers may end up with duplicate tooling.</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security tooling standard for Azure virtual machines, collector addresses and required rules, and whether any policy deploys agents automatically.</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prerequisites (monitoring and security) and validation test V08; playbook Sections 5.8 and 5.10.</w:t>
      </w:r>
    </w:p>
    <w:p>
      <w:pPr>
        <w:pStyle w:val="Heading3"/>
      </w:pPr>
      <w:r>
        <w:t xml:space="preserve">Question 34</w:t>
      </w:r>
    </w:p>
    <w:p>
      <w:pPr>
        <w:spacing w:after="120" w:line="276"/>
      </w:pPr>
      <w:r>
        <w:rPr>
          <w:rFonts w:ascii="Calibri" w:cs="Calibri" w:eastAsia="Calibri" w:hAnsi="Calibri"/>
          <w:b/>
          <w:bCs/>
          <w:sz w:val="21"/>
          <w:szCs w:val="21"/>
        </w:rPr>
        <w:t xml:space="preserve">With Azure Backup withdrawn under decision REG-017, which product will back up the eight Utility virtual machines in Azure, who enrols them, and what retention applies?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Today production Utility servers have an eight-week backup policy and development and test have two weeks (playbook Section 4.11). Section 5.9 records Cohesity as the programme product and Appendix A records that Azure Backup was withdrawn. Appendix B item 17 warns that an unsupported instance has no fallback protection at cutover. The Execution Workflow requires backup enrolment and a recovery test (validation test V09, action C09), and gate criterion "backup policy applied and a restore proven" (Section 7.1) cannot be met without a product.</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Backup product and policy for Azure virtual machines, retention for production and non-production, who enrols the servers, and when the first restore test is done.</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prerequisites (backup and rollback), action C09, validation test V09 and hypercare Step 9; playbook Sections 4.11, 5.9, 7.1 and 8.2.</w:t>
      </w:r>
    </w:p>
    <w:p>
      <w:pPr>
        <w:pStyle w:val="Heading3"/>
      </w:pPr>
      <w:r>
        <w:t xml:space="preserve">Question 35</w:t>
      </w:r>
    </w:p>
    <w:p>
      <w:pPr>
        <w:spacing w:after="120" w:line="276"/>
      </w:pPr>
      <w:r>
        <w:rPr>
          <w:rFonts w:ascii="Calibri" w:cs="Calibri" w:eastAsia="Calibri" w:hAnsi="Calibri"/>
          <w:b/>
          <w:bCs/>
          <w:sz w:val="21"/>
          <w:szCs w:val="21"/>
        </w:rPr>
        <w:t xml:space="preserve">How will the Utility virtual machines be patched in Azure: through System Center Configuration Manager as today, or through Azure Update Manager?</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System Center Configuration Manager already connects in to LSUTILPRD101 and OIMTST101 (playbook Section 4.7), and Execution Workflow action C06 changes its boundaries at cutover. Playbook Sections 5.8 and 5.10 leave the patching approach and update management blank, and Section 8.2 asks for proof that the workload is enrolled in patching.</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patching mechanism, the maintenance window, and if Configuration Manager continues, the boundary groups the Utility subnets will join.</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action C06 and validation test V06; playbook Sections 5.8, 5.10 and 8.2.</w:t>
      </w:r>
    </w:p>
    <w:p>
      <w:pPr>
        <w:pStyle w:val="Heading3"/>
      </w:pPr>
      <w:r>
        <w:t xml:space="preserve">Question 36</w:t>
      </w:r>
    </w:p>
    <w:p>
      <w:pPr>
        <w:spacing w:after="120" w:line="276"/>
      </w:pPr>
      <w:r>
        <w:rPr>
          <w:rFonts w:ascii="Calibri" w:cs="Calibri" w:eastAsia="Calibri" w:hAnsi="Calibri"/>
          <w:b/>
          <w:bCs/>
          <w:sz w:val="21"/>
          <w:szCs w:val="21"/>
        </w:rPr>
        <w:t xml:space="preserve">Will boot diagnostics and serial console access be enabled on the Utility virtual machines by default?</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Execution Workflow actions C05 and R03 depend on checking target boot quickly and deciding on rollback before the deadline. Playbook Section 5.3 notes that boot diagnostics are what make a failed boot diagnosable, and the field is blank.</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Confirmation of the default setting, and who in the cutover team can use serial console.</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action C05 and rollback decisions; playbook Section 5.3.</w:t>
      </w:r>
    </w:p>
    <w:p>
      <w:pPr>
        <w:pStyle w:val="Heading1"/>
      </w:pPr>
      <w:r>
        <w:t xml:space="preserve">8. Licensing and cost</w:t>
      </w:r>
    </w:p>
    <w:p>
      <w:pPr>
        <w:spacing w:after="120" w:line="276"/>
      </w:pPr>
      <w:r>
        <w:rPr>
          <w:rFonts w:ascii="Calibri" w:cs="Calibri" w:eastAsia="Calibri" w:hAnsi="Calibri"/>
          <w:sz w:val="21"/>
          <w:szCs w:val="21"/>
        </w:rPr>
        <w:t xml:space="preserve">Playbook Sections 4.1.2 and 5.11 leave licensing and Azure Hybrid Benefit blank, while the only cost figure is a Matilda estimate. Licensing choices are set in Azure Migrate at replication time, so they need answering before Step 5.</w:t>
      </w:r>
    </w:p>
    <w:p>
      <w:pPr>
        <w:pStyle w:val="Heading3"/>
      </w:pPr>
      <w:r>
        <w:t xml:space="preserve">Question 37</w:t>
      </w:r>
    </w:p>
    <w:p>
      <w:pPr>
        <w:spacing w:after="120" w:line="276"/>
      </w:pPr>
      <w:r>
        <w:rPr>
          <w:rFonts w:ascii="Calibri" w:cs="Calibri" w:eastAsia="Calibri" w:hAnsi="Calibri"/>
          <w:b/>
          <w:bCs/>
          <w:sz w:val="21"/>
          <w:szCs w:val="21"/>
        </w:rPr>
        <w:t xml:space="preserve">Should Azure Hybrid Benefit be applied to the seven Windows Server virtual machines?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Matilda estimate in Section 5.11 (799 US dollars a month on demand) does not say whether Windows licensing is included. Azure Hybrid Benefit is chosen in the Azure Migrate settings in Step 5, and Section 4.1.2 asks for the Windows licensing and Software Assurance position.</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GEHA standard for Windows Server licensing on Azure, and confirmation of eligibility.</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5; playbook Sections 4.1.2 and 5.11.</w:t>
      </w:r>
    </w:p>
    <w:p>
      <w:pPr>
        <w:pStyle w:val="Heading3"/>
      </w:pPr>
      <w:r>
        <w:t xml:space="preserve">Question 38</w:t>
      </w:r>
    </w:p>
    <w:p>
      <w:pPr>
        <w:spacing w:after="120" w:line="276"/>
      </w:pPr>
      <w:r>
        <w:rPr>
          <w:rFonts w:ascii="Calibri" w:cs="Calibri" w:eastAsia="Calibri" w:hAnsi="Calibri"/>
          <w:b/>
          <w:bCs/>
          <w:sz w:val="21"/>
          <w:szCs w:val="21"/>
        </w:rPr>
        <w:t xml:space="preserve">How will Red Hat Enterprise Linux on NETBACKUPPRD101 be licensed in Azure: pay-as-you-go, or bring your own subscription through Red Hat Cloud Access?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NETBACKUPPRD101 is the only Linux server. The licensing model has to be set when it is migrated, and changing later can be disruptive. The playbook is silent on it.</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licensing model and, if bring your own subscription, confirmation that the subscription is registered.</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5; playbook Section 5.11.</w:t>
      </w:r>
    </w:p>
    <w:p>
      <w:pPr>
        <w:pStyle w:val="Heading3"/>
      </w:pPr>
      <w:r>
        <w:t xml:space="preserve">Question 39</w:t>
      </w:r>
    </w:p>
    <w:p>
      <w:pPr>
        <w:spacing w:after="120" w:line="276"/>
      </w:pPr>
      <w:r>
        <w:rPr>
          <w:rFonts w:ascii="Calibri" w:cs="Calibri" w:eastAsia="Calibri" w:hAnsi="Calibri"/>
          <w:b/>
          <w:bCs/>
          <w:sz w:val="21"/>
          <w:szCs w:val="21"/>
        </w:rPr>
        <w:t xml:space="preserve">Who confirms the Remote Desktop Services licensing position once the Utility servers run in Azure, and will the Remote Desktop licence server remain reachable?</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Playbook Section 4.7 shows the Remote Desktop licence server connecting in to LSUTILPRD101, and the Execution Workflow lists Remote Desktop licensing as a dependency to validate ("license service connectivity from affected hosts"). Licensing rules for Remote Desktop Services can differ in Azure, and the licence server itself sits in a data centre that is being exited.</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owner of the licensing decision, the licensing position, and the future location of the licence server.</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Section 1.1 and validation test V06; playbook Section 4.7.</w:t>
      </w:r>
    </w:p>
    <w:p>
      <w:pPr>
        <w:pStyle w:val="Heading3"/>
      </w:pPr>
      <w:r>
        <w:t xml:space="preserve">Question 40</w:t>
      </w:r>
    </w:p>
    <w:p>
      <w:pPr>
        <w:spacing w:after="120" w:line="276"/>
      </w:pPr>
      <w:r>
        <w:rPr>
          <w:rFonts w:ascii="Calibri" w:cs="Calibri" w:eastAsia="Calibri" w:hAnsi="Calibri"/>
          <w:b/>
          <w:bCs/>
          <w:sz w:val="21"/>
          <w:szCs w:val="21"/>
        </w:rPr>
        <w:t xml:space="preserve">What budget, cost alerts and chargeback tags should be set for Utility, and who receives the alerts?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Playbook Section 5.11 asks for budget, alert thresholds and chargeback tags so that cost lands with the owner who can act on it; all are blank. Section 8.2 asks for a first-period cost baseline against the estimate after go-live.</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Budget amount, alert thresholds and recipients, and the tag values that route cost to the right owner.</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Playbook Sections 5.11 and 8.2.</w:t>
      </w:r>
    </w:p>
    <w:p>
      <w:pPr>
        <w:pStyle w:val="Heading1"/>
      </w:pPr>
      <w:r>
        <w:t xml:space="preserve">9. The Linux container server (NETBACKUPPRD101)</w:t>
      </w:r>
    </w:p>
    <w:p>
      <w:pPr>
        <w:spacing w:after="120" w:line="276"/>
      </w:pPr>
      <w:r>
        <w:rPr>
          <w:rFonts w:ascii="Calibri" w:cs="Calibri" w:eastAsia="Calibri" w:hAnsi="Calibri"/>
          <w:sz w:val="21"/>
          <w:szCs w:val="21"/>
        </w:rPr>
        <w:t xml:space="preserve">NETBACKUPPRD101 is the only server with specific instructions in the Execution Workflow, and the only one with an open strategy conflict in the playbook.</w:t>
      </w:r>
    </w:p>
    <w:p>
      <w:pPr>
        <w:pStyle w:val="Heading3"/>
      </w:pPr>
      <w:r>
        <w:t xml:space="preserve">Question 41</w:t>
      </w:r>
    </w:p>
    <w:p>
      <w:pPr>
        <w:spacing w:after="120" w:line="276"/>
      </w:pPr>
      <w:r>
        <w:rPr>
          <w:rFonts w:ascii="Calibri" w:cs="Calibri" w:eastAsia="Calibri" w:hAnsi="Calibri"/>
          <w:b/>
          <w:bCs/>
          <w:sz w:val="21"/>
          <w:szCs w:val="21"/>
        </w:rPr>
        <w:t xml:space="preserve">Does the platform team accept a complete virtual machine rehost of NETBACKUPPRD101 in this wave, so that decision W3-UTIL-D1 can be formally closed?</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The playbook logs a conflict: Rehost by tracker ruling against Matilda's recommendation to move the Docker workload to Azure Container Instances (Sections 5.1 and 10.1), to be ruled at the Wave 3 design gate. The Execution Workflow has already chosen a complete virtual machine rehost and made container conversion a separate future change. The platform needs to size, place and protect one Linux virtual machine, not a container service.</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Agreement (or not) with the Execution Workflow position, so the decision can be recorded as closed.</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Section 2 (Linux workload) and Step 5; playbook Sections 5.1 and 10.1.</w:t>
      </w:r>
    </w:p>
    <w:p>
      <w:pPr>
        <w:pStyle w:val="Heading3"/>
      </w:pPr>
      <w:r>
        <w:t xml:space="preserve">Question 42</w:t>
      </w:r>
    </w:p>
    <w:p>
      <w:pPr>
        <w:spacing w:after="120" w:line="276"/>
      </w:pPr>
      <w:r>
        <w:rPr>
          <w:rFonts w:ascii="Calibri" w:cs="Calibri" w:eastAsia="Calibri" w:hAnsi="Calibri"/>
          <w:b/>
          <w:bCs/>
          <w:sz w:val="21"/>
          <w:szCs w:val="21"/>
        </w:rPr>
        <w:t xml:space="preserve">Does NETBACKUPPRD101 mount any external storage (for example Dell Isilon or PowerFlex shares), and if so, how will it reach that storage from Azure and for how long?</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Execution Workflow Step 5 asks to "identify any external storage that must remain reachable" and validation test V07 checks persistent data. Playbook Section 4.2 lists the enterprise storage platform as a file storage dependency, and inbound port 111 (remote procedure call binding, used by network file sharing) was observed (Section 4.3). Section 5.5 leaves the target storage design blank. That storage is in the data centres being exited, so any share must either stay reachable over ExpressRoute or move.</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Whether external mounts exist, the target location of that storage, the access path from Azure and the rules needed.</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5 and validation test V07; playbook Sections 4.2 and 5.5.</w:t>
      </w:r>
    </w:p>
    <w:p>
      <w:pPr>
        <w:pStyle w:val="Heading1"/>
      </w:pPr>
      <w:r>
        <w:t xml:space="preserve">10. Cutover, rollback and hypercare support</w:t>
      </w:r>
    </w:p>
    <w:p>
      <w:pPr>
        <w:spacing w:after="120" w:line="276"/>
      </w:pPr>
      <w:r>
        <w:rPr>
          <w:rFonts w:ascii="Calibri" w:cs="Calibri" w:eastAsia="Calibri" w:hAnsi="Calibri"/>
          <w:sz w:val="21"/>
          <w:szCs w:val="21"/>
        </w:rPr>
        <w:t xml:space="preserve">Execution Workflow actions C06 and C07 change and test name records, allowlists and firewall and security group rules during the window, and rollback action R05 reverses them. Playbook Section 7.2 has every cutover role unnamed.</w:t>
      </w:r>
    </w:p>
    <w:p>
      <w:pPr>
        <w:pStyle w:val="Heading3"/>
      </w:pPr>
      <w:r>
        <w:t xml:space="preserve">Question 43</w:t>
      </w:r>
    </w:p>
    <w:p>
      <w:pPr>
        <w:spacing w:after="120" w:line="276"/>
      </w:pPr>
      <w:r>
        <w:rPr>
          <w:rFonts w:ascii="Calibri" w:cs="Calibri" w:eastAsia="Calibri" w:hAnsi="Calibri"/>
          <w:b/>
          <w:bCs/>
          <w:sz w:val="21"/>
          <w:szCs w:val="21"/>
        </w:rPr>
        <w:t xml:space="preserve">Who from the Cloud Platform team will be on the cutover bridge, with what hours, and who can change firewall policy, routes and name records during the window?</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Each production host follows actions C01 to C10 within a change window, and the rollback deadline is fixed in advance. If a platform change is needed and nobody with the rights is on the bridge, the deadline can be missed. Playbook Section 7.2 lists Network, Domain Name System and Firewall as a role with no name, backup or phone number.</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Named platform contact and backup for each production cutover, their hours, and the emergency change route during the window.</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Section 7 (actions C06 and C07) and Section 8; playbook Section 7.2.</w:t>
      </w:r>
    </w:p>
    <w:p>
      <w:pPr>
        <w:pStyle w:val="Heading3"/>
      </w:pPr>
      <w:r>
        <w:t xml:space="preserve">Question 44</w:t>
      </w:r>
    </w:p>
    <w:p>
      <w:pPr>
        <w:spacing w:after="120" w:line="276"/>
      </w:pPr>
      <w:r>
        <w:rPr>
          <w:rFonts w:ascii="Calibri" w:cs="Calibri" w:eastAsia="Calibri" w:hAnsi="Calibri"/>
          <w:b/>
          <w:bCs/>
          <w:sz w:val="21"/>
          <w:szCs w:val="21"/>
        </w:rPr>
        <w:t xml:space="preserve">Will the platform team record the before-and-after values for every route, firewall rule and security group change made for Utility, so they can be reversed during rollback?</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Execution Workflow Section 1.1 asks for "rollback values" as part of the network handoff, and rollback action R05 restores "recorded DNS, allowlist, route and tool-reference values affected by cutover". Playbook Section 7.9 asks for revert steps, all blank.</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Agreement on who records reversal values, where they are stored, and who applies them.</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Section 1.1, action C06 and rollback action R05; playbook Section 7.9.</w:t>
      </w:r>
    </w:p>
    <w:p>
      <w:pPr>
        <w:pStyle w:val="Heading3"/>
      </w:pPr>
      <w:r>
        <w:t xml:space="preserve">Question 45</w:t>
      </w:r>
    </w:p>
    <w:p>
      <w:pPr>
        <w:spacing w:after="120" w:line="276"/>
      </w:pPr>
      <w:r>
        <w:rPr>
          <w:rFonts w:ascii="Calibri" w:cs="Calibri" w:eastAsia="Calibri" w:hAnsi="Calibri"/>
          <w:b/>
          <w:bCs/>
          <w:sz w:val="21"/>
          <w:szCs w:val="21"/>
        </w:rPr>
        <w:t xml:space="preserve">How long must the Azure Migrate replication, test resources and the Utility foundation be kept after each cutover, and who removes migration-only resources?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Execution Workflow Step 10 says to complete the migration in Azure Migrate after acceptance and "remove migration-only resources when no longer required". Playbook Section 6.4 asks for test resources to be cleaned up, and Section 8.3 depends on the rollback retention period, which is not set.</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retention period for migration resources and the owner and trigger for their removal.</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10; playbook Sections 6.4 and 8.3.</w:t>
      </w:r>
    </w:p>
    <w:p>
      <w:pPr>
        <w:pStyle w:val="Heading3"/>
      </w:pPr>
      <w:r>
        <w:t xml:space="preserve">Question 46</w:t>
      </w:r>
    </w:p>
    <w:p>
      <w:pPr>
        <w:spacing w:after="120" w:line="276"/>
      </w:pPr>
      <w:r>
        <w:rPr>
          <w:rFonts w:ascii="Calibri" w:cs="Calibri" w:eastAsia="Calibri" w:hAnsi="Calibri"/>
          <w:b/>
          <w:bCs/>
          <w:sz w:val="21"/>
          <w:szCs w:val="21"/>
        </w:rPr>
        <w:t xml:space="preserve">Who in the platform team updates the configuration management database with the Azure virtual machine identifiers, IP addresses and disks, and hands over the support records?</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Execution Workflow Step 10 lists updating the configuration management database and support records, and its closure table makes DevOps and Platform the acceptance owner for "Azure resources and support records handed over". Playbook Section 4.1 currently has no configuration management database identifiers at all (the column holds site names).</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owner of the configuration management database update and the handover format.</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Step 10 and closure; playbook Sections 4.1 and 8.3.</w:t>
      </w:r>
    </w:p>
    <w:p>
      <w:pPr>
        <w:pStyle w:val="Heading1"/>
      </w:pPr>
      <w:r>
        <w:t xml:space="preserve">11. Timeline and readiness</w:t>
      </w:r>
    </w:p>
    <w:p>
      <w:pPr>
        <w:spacing w:after="120" w:line="276"/>
      </w:pPr>
      <w:r>
        <w:rPr>
          <w:rFonts w:ascii="Calibri" w:cs="Calibri" w:eastAsia="Calibri" w:hAnsi="Calibri"/>
          <w:sz w:val="21"/>
          <w:szCs w:val="21"/>
        </w:rPr>
        <w:t xml:space="preserve">The playbook schedule leaves little room for the sequence the Execution Workflow describes, and the platform readiness date is the missing piece.</w:t>
      </w:r>
    </w:p>
    <w:p>
      <w:pPr>
        <w:pStyle w:val="Heading3"/>
      </w:pPr>
      <w:r>
        <w:t xml:space="preserve">Question 47</w:t>
      </w:r>
    </w:p>
    <w:p>
      <w:pPr>
        <w:spacing w:after="120" w:line="276"/>
      </w:pPr>
      <w:r>
        <w:rPr>
          <w:rFonts w:ascii="Calibri" w:cs="Calibri" w:eastAsia="Calibri" w:hAnsi="Calibri"/>
          <w:b/>
          <w:bCs/>
          <w:sz w:val="21"/>
          <w:szCs w:val="21"/>
        </w:rPr>
        <w:t xml:space="preserve">By what date will the subscription, network, isolated test subnet, policy exemptions and quota be ready for Utility, and can that be ahead of the 25 February 2027 build start?</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Playbook Section 11 has "Landing zone and subscription confirmed" with no date, design start on 11 February 2027, design sign-off and build start both on 25 February 2027, and production cutover on 18 March 2027. That is 21 days from build start to production cutover. In that time the Execution Workflow expects the foundation deployment, replication seeding of about 2.8 TB, a development pilot, test migrations and acceptance, and a rehearsal of every production host. Appendix B item 10 (landing zone readiness) is blocking and open.</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A committed readiness date for non-production and for production, and whether the non-production foundation can be delivered early enough to start replication seeding before build start.</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Sections 3 to 7; playbook Sections 10.3, 10.4, 11 and Appendix B item 10.</w:t>
      </w:r>
    </w:p>
    <w:p>
      <w:pPr>
        <w:pStyle w:val="Heading3"/>
      </w:pPr>
      <w:r>
        <w:t xml:space="preserve">Question 48</w:t>
      </w:r>
    </w:p>
    <w:p>
      <w:pPr>
        <w:spacing w:after="120" w:line="276"/>
      </w:pPr>
      <w:r>
        <w:rPr>
          <w:rFonts w:ascii="Calibri" w:cs="Calibri" w:eastAsia="Calibri" w:hAnsi="Calibri"/>
          <w:b/>
          <w:bCs/>
          <w:sz w:val="21"/>
          <w:szCs w:val="21"/>
        </w:rPr>
        <w:t xml:space="preserve">Is there a platform change freeze or calendar (for example, policy roll-outs, hub or firewall changes) that Utility's cutover on 18 March 2027 must avoid, and when will the Utility target configuration be frozen?</w:t>
      </w:r>
    </w:p>
    <w:p>
      <w:pPr>
        <w:spacing w:after="80" w:line="276"/>
      </w:pPr>
      <w:r>
        <w:rPr>
          <w:rFonts w:ascii="Calibri" w:cs="Calibri" w:eastAsia="Calibri" w:hAnsi="Calibri"/>
          <w:b/>
          <w:bCs/>
          <w:color w:val="1D4A73"/>
          <w:sz w:val="21"/>
          <w:szCs w:val="21"/>
        </w:rPr>
        <w:t xml:space="preserve">Why we are asking: </w:t>
      </w:r>
      <w:r>
        <w:rPr>
          <w:rFonts w:ascii="Calibri" w:cs="Calibri" w:eastAsia="Calibri" w:hAnsi="Calibri"/>
          <w:sz w:val="21"/>
          <w:szCs w:val="21"/>
        </w:rPr>
        <w:t xml:space="preserve">Playbook Section 6.6 asks for a target configuration freeze and who enforces it; both are blank. A platform-wide policy or firewall change made in the days before cutover could invalidate the rehearsal results that the go or no-go gate relies on.</w:t>
      </w:r>
    </w:p>
    <w:p>
      <w:pPr>
        <w:spacing w:after="80" w:line="276"/>
      </w:pPr>
      <w:r>
        <w:rPr>
          <w:rFonts w:ascii="Calibri" w:cs="Calibri" w:eastAsia="Calibri" w:hAnsi="Calibri"/>
          <w:b/>
          <w:bCs/>
          <w:color w:val="1D4A73"/>
          <w:sz w:val="21"/>
          <w:szCs w:val="21"/>
        </w:rPr>
        <w:t xml:space="preserve">What we need back: </w:t>
      </w:r>
      <w:r>
        <w:rPr>
          <w:rFonts w:ascii="Calibri" w:cs="Calibri" w:eastAsia="Calibri" w:hAnsi="Calibri"/>
          <w:sz w:val="21"/>
          <w:szCs w:val="21"/>
        </w:rPr>
        <w:t xml:space="preserve">The platform change calendar around mid-March 2027 and the date after which Utility's target configuration will not change.</w:t>
      </w:r>
    </w:p>
    <w:p>
      <w:pPr>
        <w:spacing w:after="80" w:line="276"/>
      </w:pPr>
      <w:r>
        <w:rPr>
          <w:rFonts w:ascii="Calibri" w:cs="Calibri" w:eastAsia="Calibri" w:hAnsi="Calibri"/>
          <w:b/>
          <w:bCs/>
          <w:color w:val="1D4A73"/>
          <w:sz w:val="21"/>
          <w:szCs w:val="21"/>
        </w:rPr>
        <w:t xml:space="preserve">What it unblocks: </w:t>
      </w:r>
      <w:r>
        <w:rPr>
          <w:rFonts w:ascii="Calibri" w:cs="Calibri" w:eastAsia="Calibri" w:hAnsi="Calibri"/>
          <w:sz w:val="21"/>
          <w:szCs w:val="21"/>
        </w:rPr>
        <w:t xml:space="preserve">Execution Workflow Section 7 ("before the window") and the go or no-go decision; playbook Sections 6.6 and 7.1.</w:t>
      </w:r>
    </w:p>
    <w:p>
      <w:pPr>
        <w:pStyle w:val="Heading1"/>
      </w:pPr>
      <w:r>
        <w:t xml:space="preserve">Question tracker</w:t>
      </w:r>
    </w:p>
    <w:p>
      <w:pPr>
        <w:spacing w:after="120" w:line="276"/>
      </w:pPr>
      <w:r>
        <w:rPr>
          <w:rFonts w:ascii="Calibri" w:cs="Calibri" w:eastAsia="Calibri" w:hAnsi="Calibri"/>
          <w:sz w:val="21"/>
          <w:szCs w:val="21"/>
        </w:rPr>
        <w:t xml:space="preserve">An index of every question, with space to record the answer owner and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1750"/>
        <w:gridCol w:w="4930"/>
        <w:gridCol w:w="1700"/>
      </w:tblGrid>
      <w:tr>
        <w:trPr>
          <w:tblHeader/>
        </w:trPr>
        <w:tc>
          <w:tcPr>
            <w:tcW w:type="dxa" w:w="98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Number</w:t>
            </w:r>
          </w:p>
        </w:tc>
        <w:tc>
          <w:tcPr>
            <w:tcW w:type="dxa" w:w="175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Area</w:t>
            </w:r>
          </w:p>
        </w:tc>
        <w:tc>
          <w:tcPr>
            <w:tcW w:type="dxa" w:w="493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Question</w:t>
            </w:r>
          </w:p>
        </w:tc>
        <w:tc>
          <w:tcPr>
            <w:tcW w:type="dxa" w:w="1700"/>
            <w:tcBorders>
              <w:top w:val="single" w:color="A9B8C6" w:sz="4"/>
              <w:left w:val="single" w:color="A9B8C6" w:sz="4"/>
              <w:bottom w:val="single" w:color="A9B8C6" w:sz="4"/>
              <w:right w:val="single" w:color="A9B8C6" w:sz="4"/>
            </w:tcBorders>
            <w:shd w:fill="1D4A73"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Answered by and date</w:t>
            </w: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Landing zone placement and subscription</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Which subscription will host Utility, does it already exist, and if it does not, when will it be provisioned?</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2</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Landing zone placement and subscription</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Where does that subscription sit in the management group hierarchy, and which of the 42 tenant policy assignments will apply to it, with what effect?</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3</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Landing zone placement and subscription</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Should development, test and production be placed in separate resource groups or subscriptions, and what are their names?</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4</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Landing zone placement and subscription</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Will the GEHA naming standard and mandatory tags accept Azure Migrate's default of using the source host name (for example LSUTILPRD101) as the Azure virtual machine name, and how will mandatory tags be applied to resources that Azure Migrate creates?</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5</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Landing zone placement and subscription</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Which Azure region and paired region will Utility use?</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6</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Capacity, sizing and disks</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Is there enough processor quota, and are the chosen virtual machine sizes available in the target region and zones, for the eight servers plus the extra test virtual machines created during test migrations and rehearsals?</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7</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Capacity, sizing and disks</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Who approves the final size for each of the eight servers, and will sizes follow the current allocation or the right-sizing recommendation?</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8</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Capacity, sizing and disks</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Which managed disk types may Utility use, and is any disk type restricted by policy?</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9</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Capacity, sizing and disks</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Should the production servers be spread across availability zones, and in particular should LSUTILPRD101 and LXUTILPRD101 go to different zones?</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10</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Capacity, sizing and disks</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Does GEHA policy require Trusted Launch or a particular security type for new virtual machines, and what happens if a source server boots with BIOS rather than UEFI?</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11</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Capacity, sizing and disks</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Is encryption with customer-managed keys or encryption at host required on managed disks? If so, which disk encryption set should Azure Migrate use?</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12</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Network, addressing and name resolution</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Which virtual network and subnets will Utility use: a new Utility spoke, or subnets in an existing shared spoke? What are the address ranges?</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13</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Network, addressing and name resolution</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Can a private IP address be reserved for each of the eight servers before replication is enabled, and who issues the source-to-target IP mapping?</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14</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Network, addressing and name resolution</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How will the isolated test subnet be built, and what can a test copy of a domain-joined server reach from it?</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15</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Network, addressing and name resolution</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How will the Utility spoke connect to the secured virtual hub, and will traffic between on-premises and Utility, and between Utility and other spokes, be forced through Azure Firewall?</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16</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Network, addressing and name resolution</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Who writes and approves the Azure Firewall rules for Utility, and are they added by the Utility Bicep deployment or by a platform-owned pipeline? What is the lead time?</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17</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Network, addressing and name resolution</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While production servers are cut over one at a time, will temporary rules across ExpressRoute be allowed between servers that have moved and servers still on-premises, and how are they removed?</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18</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Network, addressing and name resolution</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will the Utility virtual network use for name resolution, who changes the name records at cutover, and can time-to-live values be lowered in advance?</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19</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Network, addressing and name resolution</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Will Utility servers be allowed outbound internet access through Azure Firewall, and if so, by web address allowlist or by category?</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20</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Azure Migrate and replication</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Which subscription, region and resource group hold the Azure Migrate project, is it the one reported as deployed on 26 July, and when will the migration team have access?</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21</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Azure Migrate and replication</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Does the VMware appliance cover the vCenter servers at both Lee's Summit and Lenexa, or is there one appliance per site? Is it healthy and able to reach the ESXi hosts on port 902?</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22</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Azure Migrate and replication</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Will replication traffic travel over ExpressRoute using private endpoints, or over the internet? How much bandwidth can it use, and will it be throttled in business hours?</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23</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Azure Migrate and replication</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Will the storage accounts and other resources that Azure Migrate creates on its own during replication be allowed by policy, or should they be created in advance?</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24</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Azure Migrate and replication</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Azure roles will the migration team and the pipeline identity receive, at which scope, and is privileged identity management activation required?</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25</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Azure Migrate and replication</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Has the platform team confirmed that Windows Server 2025 (MSCOREOSPRD101) and Red Hat Enterprise Linux 9.0 (NETBACKUPPRD101) are supported by the current Azure Migrate agentless VMware process and by the landing zone images and extensions?</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26</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Identity and administrative access</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Will the Utility servers stay joined to the on-premises Active Directory domain, and which domain controllers will they authenticate against from Azure?</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27</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Identity and administrative access</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How will support teams reach the Utility jump servers after the move: direct Remote Desktop over ExpressRoute from the corporate network, Zscaler Private Access, or Azure Bastion?</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28</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Identity and administrative access</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role-based access and privileged access controls will apply to administering the Utility virtual machines in Azure (for example, who can start, stop, resize or connect, and whether just-in-time access is used)?</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29</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Infrastructure as Code and the deployment pipeline</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Which repository, Utility parameter file and pipeline will be used, and who approves a run into production?</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30</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Infrastructure as Code and the deployment pipeline</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Which shared platform resources must the Utility templates reference, and which resources does Utility own and create?</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31</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Infrastructure as Code and the deployment pipeline</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Once Azure Migrate has created the virtual machines outside the pipeline, how will they be brought under Infrastructure as Code and drift detection?</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32</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Operations onboarding: monitoring, security, patching and backup</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Which Log Analytics workspace will Utility report to, is the monitoring agent installed automatically by policy, and which alerts and action groups come with the platform standard?</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33</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Operations onboarding: monitoring, security, patching and backup</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Do the Splunk forwarder and Rapid7 agent already on the servers remain the standard in Azure, and can they reach their collectors from the Utility subnets, or will Microsoft Defender for Servers replace or sit alongside them?</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34</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Operations onboarding: monitoring, security, patching and backup</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With Azure Backup withdrawn under decision REG-017, which product will back up the eight Utility virtual machines in Azure, who enrols them, and what retention applies?</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35</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Operations onboarding: monitoring, security, patching and backup</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How will the Utility virtual machines be patched in Azure: through System Center Configuration Manager as today, or through Azure Update Manager?</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36</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Operations onboarding: monitoring, security, patching and backup</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Will boot diagnostics and serial console access be enabled on the Utility virtual machines by default?</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37</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Licensing and cost</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Should Azure Hybrid Benefit be applied to the seven Windows Server virtual machines?</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38</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Licensing and cost</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How will Red Hat Enterprise Linux on NETBACKUPPRD101 be licensed in Azure: pay-as-you-go, or bring your own subscription through Red Hat Cloud Access?</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39</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Licensing and cost</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Who confirms the Remote Desktop Services licensing position once the Utility servers run in Azure, and will the Remote Desktop licence server remain reachable?</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40</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Licensing and cost</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budget, cost alerts and chargeback tags should be set for Utility, and who receives the alerts?</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41</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The Linux container server (NETBACKUPPRD101)</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Does the platform team accept a complete virtual machine rehost of NETBACKUPPRD101 in this wave, so that decision W3-UTIL-D1 can be formally closed?</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42</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The Linux container server (NETBACKUPPRD101)</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Does NETBACKUPPRD101 mount any external storage (for example Dell Isilon or PowerFlex shares), and if so, how will it reach that storage from Azure and for how long?</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43</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Cutover, rollback and hypercare support</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Who from the Cloud Platform team will be on the cutover bridge, with what hours, and who can change firewall policy, routes and name records during the window?</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44</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Cutover, rollback and hypercare support</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Will the platform team record the before-and-after values for every route, firewall rule and security group change made for Utility, so they can be reversed during rollback?</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45</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Cutover, rollback and hypercare support</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How long must the Azure Migrate replication, test resources and the Utility foundation be kept after each cutover, and who removes migration-only resources?</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46</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Cutover, rollback and hypercare support</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Who in the platform team updates the configuration management database with the Azure virtual machine identifiers, IP addresses and disks, and hands over the support records?</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47</w:t>
            </w:r>
          </w:p>
        </w:tc>
        <w:tc>
          <w:tcPr>
            <w:tcW w:type="dxa" w:w="175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Timeline and readiness</w:t>
            </w:r>
          </w:p>
        </w:tc>
        <w:tc>
          <w:tcPr>
            <w:tcW w:type="dxa" w:w="493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r>
              <w:rPr>
                <w:rFonts w:ascii="Calibri" w:cs="Calibri" w:eastAsia="Calibri" w:hAnsi="Calibri"/>
                <w:sz w:val="19"/>
                <w:szCs w:val="19"/>
              </w:rPr>
              <w:t xml:space="preserve">By what date will the subscription, network, isolated test subnet, policy exemptions and quota be ready for Utility, and can that be ahead of the 25 February 2027 build start?</w:t>
            </w:r>
          </w:p>
        </w:tc>
        <w:tc>
          <w:tcPr>
            <w:tcW w:type="dxa" w:w="1700"/>
            <w:tcBorders>
              <w:top w:val="single" w:color="A9B8C6" w:sz="4"/>
              <w:left w:val="single" w:color="A9B8C6" w:sz="4"/>
              <w:bottom w:val="single" w:color="A9B8C6" w:sz="4"/>
              <w:right w:val="single" w:color="A9B8C6" w:sz="4"/>
            </w:tcBorders>
            <w:tcMar>
              <w:top w:type="dxa" w:w="60"/>
              <w:left w:type="dxa" w:w="100"/>
              <w:bottom w:type="dxa" w:w="60"/>
              <w:right w:type="dxa" w:w="100"/>
            </w:tcMar>
          </w:tcPr>
          <w:p>
            <w:pPr>
              <w:spacing w:after="40"/>
            </w:pPr>
          </w:p>
        </w:tc>
      </w:tr>
      <w:tr>
        <w:trPr>
          <w:cantSplit/>
        </w:trPr>
        <w:tc>
          <w:tcPr>
            <w:tcW w:type="dxa" w:w="98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48</w:t>
            </w:r>
          </w:p>
        </w:tc>
        <w:tc>
          <w:tcPr>
            <w:tcW w:type="dxa" w:w="175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Timeline and readiness</w:t>
            </w:r>
          </w:p>
        </w:tc>
        <w:tc>
          <w:tcPr>
            <w:tcW w:type="dxa" w:w="493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r>
              <w:rPr>
                <w:rFonts w:ascii="Calibri" w:cs="Calibri" w:eastAsia="Calibri" w:hAnsi="Calibri"/>
                <w:sz w:val="19"/>
                <w:szCs w:val="19"/>
              </w:rPr>
              <w:t xml:space="preserve">Is there a platform change freeze or calendar (for example, policy roll-outs, hub or firewall changes) that Utility's cutover on 18 March 2027 must avoid, and when will the Utility target configuration be frozen?</w:t>
            </w:r>
          </w:p>
        </w:tc>
        <w:tc>
          <w:tcPr>
            <w:tcW w:type="dxa" w:w="1700"/>
            <w:tcBorders>
              <w:top w:val="single" w:color="A9B8C6" w:sz="4"/>
              <w:left w:val="single" w:color="A9B8C6" w:sz="4"/>
              <w:bottom w:val="single" w:color="A9B8C6" w:sz="4"/>
              <w:right w:val="single" w:color="A9B8C6" w:sz="4"/>
            </w:tcBorders>
            <w:shd w:fill="F7F9FB" w:color="auto" w:val="clear"/>
            <w:tcMar>
              <w:top w:type="dxa" w:w="60"/>
              <w:left w:type="dxa" w:w="100"/>
              <w:bottom w:type="dxa" w:w="60"/>
              <w:right w:type="dxa" w:w="100"/>
            </w:tcMar>
          </w:tcPr>
          <w:p>
            <w:pPr>
              <w:spacing w:after="40"/>
            </w:pPr>
          </w:p>
        </w:tc>
      </w:tr>
    </w:tbl>
    <w:p>
      <w:pPr>
        <w:spacing w:after="120"/>
      </w:pP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B8A"/>
        <w:sz w:val="16"/>
        <w:szCs w:val="16"/>
      </w:rPr>
      <w:t xml:space="preserve">Utility – Questions for the Cloud Platform Team   |   Page </w:t>
    </w:r>
    <w:r>
      <w:rPr>
        <w:rFonts w:ascii="Calibri" w:cs="Calibri" w:eastAsia="Calibri" w:hAnsi="Calibri"/>
        <w:color w:val="6B7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abstractNum w:abstractNumId="14" w15:restartNumberingAfterBreak="0">
    <w:multiLevelType w:val="hybridMultilevel"/>
    <w:lvl w:ilvl="0" w15:tentative="1">
      <w:start w:val="1"/>
      <w:numFmt w:val="decimal"/>
      <w:lvlText w:val="%1."/>
      <w:lvlJc w:val="left"/>
      <w:pPr>
        <w:ind w:left="400" w:hanging="300"/>
      </w:pPr>
    </w:lvl>
  </w:abstractNum>
  <w:abstractNum w:abstractNumId="15" w15:restartNumberingAfterBreak="0">
    <w:multiLevelType w:val="hybridMultilevel"/>
    <w:lvl w:ilvl="0" w15:tentative="1">
      <w:start w:val="1"/>
      <w:numFmt w:val="decimal"/>
      <w:lvlText w:val="%1."/>
      <w:lvlJc w:val="left"/>
      <w:pPr>
        <w:ind w:left="400" w:hanging="300"/>
      </w:pPr>
    </w:lvl>
  </w:abstractNum>
  <w:abstractNum w:abstractNumId="16" w15:restartNumberingAfterBreak="0">
    <w:multiLevelType w:val="hybridMultilevel"/>
    <w:lvl w:ilvl="0" w15:tentative="1">
      <w:start w:val="1"/>
      <w:numFmt w:val="decimal"/>
      <w:lvlText w:val="%1."/>
      <w:lvlJc w:val="left"/>
      <w:pPr>
        <w:ind w:left="400" w:hanging="300"/>
      </w:pPr>
    </w:lvl>
  </w:abstractNum>
  <w:abstractNum w:abstractNumId="17" w15:restartNumberingAfterBreak="0">
    <w:multiLevelType w:val="hybridMultilevel"/>
    <w:lvl w:ilvl="0" w15:tentative="1">
      <w:start w:val="1"/>
      <w:numFmt w:val="decimal"/>
      <w:lvlText w:val="%1."/>
      <w:lvlJc w:val="left"/>
      <w:pPr>
        <w:ind w:left="400" w:hanging="300"/>
      </w:pPr>
    </w:lvl>
  </w:abstractNum>
  <w:abstractNum w:abstractNumId="18" w15:restartNumberingAfterBreak="0">
    <w:multiLevelType w:val="hybridMultilevel"/>
    <w:lvl w:ilvl="0" w15:tentative="1">
      <w:start w:val="1"/>
      <w:numFmt w:val="decimal"/>
      <w:lvlText w:val="%1."/>
      <w:lvlJc w:val="left"/>
      <w:pPr>
        <w:ind w:left="400" w:hanging="300"/>
      </w:pPr>
    </w:lvl>
  </w:abstractNum>
  <w:abstractNum w:abstractNumId="19" w15:restartNumberingAfterBreak="0">
    <w:multiLevelType w:val="hybridMultilevel"/>
    <w:lvl w:ilvl="0" w15:tentative="1">
      <w:start w:val="1"/>
      <w:numFmt w:val="decimal"/>
      <w:lvlText w:val="%1."/>
      <w:lvlJc w:val="left"/>
      <w:pPr>
        <w:ind w:left="400" w:hanging="300"/>
      </w:pPr>
    </w:lvl>
  </w:abstractNum>
  <w:abstractNum w:abstractNumId="20" w15:restartNumberingAfterBreak="0">
    <w:multiLevelType w:val="hybridMultilevel"/>
    <w:lvl w:ilvl="0" w15:tentative="1">
      <w:start w:val="1"/>
      <w:numFmt w:val="decimal"/>
      <w:lvlText w:val="%1."/>
      <w:lvlJc w:val="left"/>
      <w:pPr>
        <w:ind w:left="400" w:hanging="300"/>
      </w:pPr>
    </w:lvl>
  </w:abstractNum>
  <w:abstractNum w:abstractNumId="21" w15:restartNumberingAfterBreak="0">
    <w:multiLevelType w:val="hybridMultilevel"/>
    <w:lvl w:ilvl="0" w15:tentative="1">
      <w:start w:val="1"/>
      <w:numFmt w:val="decimal"/>
      <w:lvlText w:val="%1."/>
      <w:lvlJc w:val="left"/>
      <w:pPr>
        <w:ind w:left="400" w:hanging="300"/>
      </w:pPr>
    </w:lvl>
  </w:abstractNum>
  <w:abstractNum w:abstractNumId="22" w15:restartNumberingAfterBreak="0">
    <w:multiLevelType w:val="hybridMultilevel"/>
    <w:lvl w:ilvl="0" w15:tentative="1">
      <w:start w:val="1"/>
      <w:numFmt w:val="decimal"/>
      <w:lvlText w:val="%1."/>
      <w:lvlJc w:val="left"/>
      <w:pPr>
        <w:ind w:left="400" w:hanging="300"/>
      </w:pPr>
    </w:lvl>
  </w:abstractNum>
  <w:abstractNum w:abstractNumId="23" w15:restartNumberingAfterBreak="0">
    <w:multiLevelType w:val="hybridMultilevel"/>
    <w:lvl w:ilvl="0" w15:tentative="1">
      <w:start w:val="1"/>
      <w:numFmt w:val="decimal"/>
      <w:lvlText w:val="%1."/>
      <w:lvlJc w:val="left"/>
      <w:pPr>
        <w:ind w:left="400" w:hanging="300"/>
      </w:pPr>
    </w:lvl>
  </w:abstractNum>
  <w:abstractNum w:abstractNumId="24" w15:restartNumberingAfterBreak="0">
    <w:multiLevelType w:val="hybridMultilevel"/>
    <w:lvl w:ilvl="0" w15:tentative="1">
      <w:start w:val="1"/>
      <w:numFmt w:val="decimal"/>
      <w:lvlText w:val="%1."/>
      <w:lvlJc w:val="left"/>
      <w:pPr>
        <w:ind w:left="400" w:hanging="300"/>
      </w:pPr>
    </w:lvl>
  </w:abstractNum>
  <w:abstractNum w:abstractNumId="25" w15:restartNumberingAfterBreak="0">
    <w:multiLevelType w:val="hybridMultilevel"/>
    <w:lvl w:ilvl="0" w15:tentative="1">
      <w:start w:val="1"/>
      <w:numFmt w:val="decimal"/>
      <w:lvlText w:val="%1."/>
      <w:lvlJc w:val="left"/>
      <w:pPr>
        <w:ind w:left="400" w:hanging="300"/>
      </w:pPr>
    </w:lvl>
  </w:abstractNum>
  <w:abstractNum w:abstractNumId="26" w15:restartNumberingAfterBreak="0">
    <w:multiLevelType w:val="hybridMultilevel"/>
    <w:lvl w:ilvl="0" w15:tentative="1">
      <w:start w:val="1"/>
      <w:numFmt w:val="decimal"/>
      <w:lvlText w:val="%1."/>
      <w:lvlJc w:val="left"/>
      <w:pPr>
        <w:ind w:left="400" w:hanging="300"/>
      </w:pPr>
    </w:lvl>
  </w:abstractNum>
  <w:abstractNum w:abstractNumId="27" w15:restartNumberingAfterBreak="0">
    <w:multiLevelType w:val="hybridMultilevel"/>
    <w:lvl w:ilvl="0" w15:tentative="1">
      <w:start w:val="1"/>
      <w:numFmt w:val="decimal"/>
      <w:lvlText w:val="%1."/>
      <w:lvlJc w:val="left"/>
      <w:pPr>
        <w:ind w:left="400" w:hanging="300"/>
      </w:pPr>
    </w:lvl>
  </w:abstractNum>
  <w:abstractNum w:abstractNumId="28" w15:restartNumberingAfterBreak="0">
    <w:multiLevelType w:val="hybridMultilevel"/>
    <w:lvl w:ilvl="0" w15:tentative="1">
      <w:start w:val="1"/>
      <w:numFmt w:val="decimal"/>
      <w:lvlText w:val="%1."/>
      <w:lvlJc w:val="left"/>
      <w:pPr>
        <w:ind w:left="400" w:hanging="300"/>
      </w:pPr>
    </w:lvl>
  </w:abstractNum>
  <w:abstractNum w:abstractNumId="29" w15:restartNumberingAfterBreak="0">
    <w:multiLevelType w:val="hybridMultilevel"/>
    <w:lvl w:ilvl="0" w15:tentative="1">
      <w:start w:val="1"/>
      <w:numFmt w:val="decimal"/>
      <w:lvlText w:val="%1."/>
      <w:lvlJc w:val="left"/>
      <w:pPr>
        <w:ind w:left="400" w:hanging="300"/>
      </w:pPr>
    </w:lvl>
  </w:abstractNum>
  <w:abstractNum w:abstractNumId="30" w15:restartNumberingAfterBreak="0">
    <w:multiLevelType w:val="hybridMultilevel"/>
    <w:lvl w:ilvl="0" w15:tentative="1">
      <w:start w:val="1"/>
      <w:numFmt w:val="decimal"/>
      <w:lvlText w:val="%1."/>
      <w:lvlJc w:val="left"/>
      <w:pPr>
        <w:ind w:left="400" w:hanging="300"/>
      </w:pPr>
    </w:lvl>
  </w:abstractNum>
  <w:abstractNum w:abstractNumId="31" w15:restartNumberingAfterBreak="0">
    <w:multiLevelType w:val="hybridMultilevel"/>
    <w:lvl w:ilvl="0" w15:tentative="1">
      <w:start w:val="1"/>
      <w:numFmt w:val="decimal"/>
      <w:lvlText w:val="%1."/>
      <w:lvlJc w:val="left"/>
      <w:pPr>
        <w:ind w:left="400" w:hanging="300"/>
      </w:pPr>
    </w:lvl>
  </w:abstractNum>
  <w:abstractNum w:abstractNumId="32" w15:restartNumberingAfterBreak="0">
    <w:multiLevelType w:val="hybridMultilevel"/>
    <w:lvl w:ilvl="0" w15:tentative="1">
      <w:start w:val="1"/>
      <w:numFmt w:val="decimal"/>
      <w:lvlText w:val="%1."/>
      <w:lvlJc w:val="left"/>
      <w:pPr>
        <w:ind w:left="400" w:hanging="300"/>
      </w:pPr>
    </w:lvl>
  </w:abstractNum>
  <w:abstractNum w:abstractNumId="33" w15:restartNumberingAfterBreak="0">
    <w:multiLevelType w:val="hybridMultilevel"/>
    <w:lvl w:ilvl="0" w15:tentative="1">
      <w:start w:val="1"/>
      <w:numFmt w:val="decimal"/>
      <w:lvlText w:val="%1."/>
      <w:lvlJc w:val="left"/>
      <w:pPr>
        <w:ind w:left="400" w:hanging="300"/>
      </w:pPr>
    </w:lvl>
  </w:abstractNum>
  <w:abstractNum w:abstractNumId="34" w15:restartNumberingAfterBreak="0">
    <w:multiLevelType w:val="hybridMultilevel"/>
    <w:lvl w:ilvl="0" w15:tentative="1">
      <w:start w:val="1"/>
      <w:numFmt w:val="decimal"/>
      <w:lvlText w:val="%1."/>
      <w:lvlJc w:val="left"/>
      <w:pPr>
        <w:ind w:left="400" w:hanging="300"/>
      </w:pPr>
    </w:lvl>
  </w:abstractNum>
  <w:abstractNum w:abstractNumId="35" w15:restartNumberingAfterBreak="0">
    <w:multiLevelType w:val="hybridMultilevel"/>
    <w:lvl w:ilvl="0" w15:tentative="1">
      <w:start w:val="1"/>
      <w:numFmt w:val="decimal"/>
      <w:lvlText w:val="%1."/>
      <w:lvlJc w:val="left"/>
      <w:pPr>
        <w:ind w:left="400" w:hanging="300"/>
      </w:pPr>
    </w:lvl>
  </w:abstractNum>
  <w:abstractNum w:abstractNumId="36" w15:restartNumberingAfterBreak="0">
    <w:multiLevelType w:val="hybridMultilevel"/>
    <w:lvl w:ilvl="0" w15:tentative="1">
      <w:start w:val="1"/>
      <w:numFmt w:val="decimal"/>
      <w:lvlText w:val="%1."/>
      <w:lvlJc w:val="left"/>
      <w:pPr>
        <w:ind w:left="400" w:hanging="300"/>
      </w:pPr>
    </w:lvl>
  </w:abstractNum>
  <w:abstractNum w:abstractNumId="37" w15:restartNumberingAfterBreak="0">
    <w:multiLevelType w:val="hybridMultilevel"/>
    <w:lvl w:ilvl="0" w15:tentative="1">
      <w:start w:val="1"/>
      <w:numFmt w:val="decimal"/>
      <w:lvlText w:val="%1."/>
      <w:lvlJc w:val="left"/>
      <w:pPr>
        <w:ind w:left="400" w:hanging="300"/>
      </w:pPr>
    </w:lvl>
  </w:abstractNum>
  <w:abstractNum w:abstractNumId="38" w15:restartNumberingAfterBreak="0">
    <w:multiLevelType w:val="hybridMultilevel"/>
    <w:lvl w:ilvl="0" w15:tentative="1">
      <w:start w:val="1"/>
      <w:numFmt w:val="decimal"/>
      <w:lvlText w:val="%1."/>
      <w:lvlJc w:val="left"/>
      <w:pPr>
        <w:ind w:left="400" w:hanging="300"/>
      </w:pPr>
    </w:lvl>
  </w:abstractNum>
  <w:abstractNum w:abstractNumId="39" w15:restartNumberingAfterBreak="0">
    <w:multiLevelType w:val="hybridMultilevel"/>
    <w:lvl w:ilvl="0" w15:tentative="1">
      <w:start w:val="1"/>
      <w:numFmt w:val="decimal"/>
      <w:lvlText w:val="%1."/>
      <w:lvlJc w:val="left"/>
      <w:pPr>
        <w:ind w:left="400" w:hanging="300"/>
      </w:pPr>
    </w:lvl>
  </w:abstractNum>
  <w:abstractNum w:abstractNumId="40" w15:restartNumberingAfterBreak="0">
    <w:multiLevelType w:val="hybridMultilevel"/>
    <w:lvl w:ilvl="0" w15:tentative="1">
      <w:start w:val="1"/>
      <w:numFmt w:val="decimal"/>
      <w:lvlText w:val="%1."/>
      <w:lvlJc w:val="left"/>
      <w:pPr>
        <w:ind w:left="400" w:hanging="300"/>
      </w:pPr>
    </w:lvl>
  </w:abstractNum>
  <w:abstractNum w:abstractNumId="41" w15:restartNumberingAfterBreak="0">
    <w:multiLevelType w:val="hybridMultilevel"/>
    <w:lvl w:ilvl="0" w15:tentative="1">
      <w:start w:val="1"/>
      <w:numFmt w:val="decimal"/>
      <w:lvlText w:val="%1."/>
      <w:lvlJc w:val="left"/>
      <w:pPr>
        <w:ind w:left="400" w:hanging="300"/>
      </w:pPr>
    </w:lvl>
  </w:abstractNum>
  <w:abstractNum w:abstractNumId="42" w15:restartNumberingAfterBreak="0">
    <w:multiLevelType w:val="hybridMultilevel"/>
    <w:lvl w:ilvl="0" w15:tentative="1">
      <w:start w:val="1"/>
      <w:numFmt w:val="decimal"/>
      <w:lvlText w:val="%1."/>
      <w:lvlJc w:val="left"/>
      <w:pPr>
        <w:ind w:left="400" w:hanging="300"/>
      </w:pPr>
    </w:lvl>
  </w:abstractNum>
  <w:abstractNum w:abstractNumId="4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D4A73"/>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F5D8A"/>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3C4E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2026-09-24T11:55:19.524Z</dcterms:created>
  <dcterms:modified xsi:type="dcterms:W3CDTF">2026-09-24T11:55:19.525Z</dcterms:modified>
</cp:coreProperties>
</file>

<file path=docProps/custom.xml><?xml version="1.0" encoding="utf-8"?>
<Properties xmlns="http://schemas.openxmlformats.org/officeDocument/2006/custom-properties" xmlns:vt="http://schemas.openxmlformats.org/officeDocument/2006/docPropsVTypes"/>
</file>