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D4A73"/>
          <w:sz w:val="40"/>
          <w:szCs w:val="40"/>
        </w:rPr>
        <w:t xml:space="preserve">Utility Application Migration Playbook v0.4</w:t>
      </w:r>
    </w:p>
    <w:p>
      <w:pPr>
        <w:pBdr>
          <w:bottom w:val="single" w:color="1D4A73" w:sz="8" w:space="8"/>
        </w:pBdr>
        <w:spacing w:after="300"/>
      </w:pPr>
      <w:r>
        <w:rPr>
          <w:rFonts w:ascii="Calibri" w:cs="Calibri" w:eastAsia="Calibri" w:hAnsi="Calibri"/>
          <w:color w:val="4A5A68"/>
          <w:sz w:val="24"/>
          <w:szCs w:val="24"/>
        </w:rPr>
        <w:t xml:space="preserve">Section-by-section summary and a view of the final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Application</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Utility (GEHA shared jump servers and administrative tool servers)</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Programme</w:t>
            </w:r>
          </w:p>
        </w:tc>
        <w:tc>
          <w:tcPr>
            <w:tcW w:type="dxa" w:w="69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GEHA Data Centre Exit (Lee's Summit and Lenexa to Microsoft Azure)</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Source document</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Utility – Application Migration Playbook v0.4, draft for GEHA review, dated 26-Aug-2026, prepared by George Galindo, Citius Healthcare Consulting</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Read alongside</w:t>
            </w:r>
          </w:p>
        </w:tc>
        <w:tc>
          <w:tcPr>
            <w:tcW w:type="dxa" w:w="69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Execution Workflow – Utility, dated 22-Sep-2026</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Prepared by</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Saikat Majumdar, Azure Solution Architect, CitiusTech</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Date</w:t>
            </w:r>
          </w:p>
        </w:tc>
        <w:tc>
          <w:tcPr>
            <w:tcW w:type="dxa" w:w="69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24-Sep-2026</w:t>
            </w:r>
          </w:p>
        </w:tc>
      </w:tr>
    </w:tbl>
    <w:p>
      <w:pPr>
        <w:spacing w:after="120"/>
      </w:pPr>
    </w:p>
    <w:p>
      <w:pPr>
        <w:pStyle w:val="Heading1"/>
      </w:pPr>
      <w:r>
        <w:t xml:space="preserve">How to read this summary</w:t>
      </w:r>
    </w:p>
    <w:p>
      <w:pPr>
        <w:pStyle w:val="ListParagraph"/>
        <w:numPr>
          <w:ilvl w:val="0"/>
          <w:numId w:val="2"/>
        </w:numPr>
        <w:spacing w:after="60" w:line="264"/>
      </w:pPr>
      <w:r>
        <w:rPr>
          <w:rFonts w:ascii="Calibri" w:cs="Calibri" w:eastAsia="Calibri" w:hAnsi="Calibri"/>
          <w:sz w:val="21"/>
          <w:szCs w:val="21"/>
        </w:rPr>
        <w:t xml:space="preserve">This summary follows the playbook in its own order, from the Key Information table through to Appendix B, so every section of the playbook has a matching section here.</w:t>
      </w:r>
    </w:p>
    <w:p>
      <w:pPr>
        <w:pStyle w:val="ListParagraph"/>
        <w:numPr>
          <w:ilvl w:val="0"/>
          <w:numId w:val="2"/>
        </w:numPr>
        <w:spacing w:after="60" w:line="264"/>
      </w:pPr>
      <w:r>
        <w:rPr>
          <w:rFonts w:ascii="Calibri" w:cs="Calibri" w:eastAsia="Calibri" w:hAnsi="Calibri"/>
          <w:sz w:val="21"/>
          <w:szCs w:val="21"/>
        </w:rPr>
        <w:t xml:space="preserve">For each section there are up to three parts: what the section is for, what the playbook currently records in it, and what is still open.</w:t>
      </w:r>
    </w:p>
    <w:p>
      <w:pPr>
        <w:pStyle w:val="ListParagraph"/>
        <w:numPr>
          <w:ilvl w:val="0"/>
          <w:numId w:val="2"/>
        </w:numPr>
        <w:spacing w:after="60" w:line="264"/>
      </w:pPr>
      <w:r>
        <w:rPr>
          <w:rFonts w:ascii="Calibri" w:cs="Calibri" w:eastAsia="Calibri" w:hAnsi="Calibri"/>
          <w:sz w:val="21"/>
          <w:szCs w:val="21"/>
        </w:rPr>
        <w:t xml:space="preserve">Where the playbook contradicts itself, or disagrees with the Execution Workflow, the point is not smoothed over. All such points are collected in Part 3.</w:t>
      </w:r>
    </w:p>
    <w:p>
      <w:pPr>
        <w:pStyle w:val="ListParagraph"/>
        <w:numPr>
          <w:ilvl w:val="0"/>
          <w:numId w:val="2"/>
        </w:numPr>
        <w:spacing w:after="60" w:line="264"/>
      </w:pPr>
      <w:r>
        <w:rPr>
          <w:rFonts w:ascii="Calibri" w:cs="Calibri" w:eastAsia="Calibri" w:hAnsi="Calibri"/>
          <w:sz w:val="21"/>
          <w:szCs w:val="21"/>
        </w:rPr>
        <w:t xml:space="preserve">Part 4 gives a picture of the final state: what Utility looks like once the migration is finished, the journey to get there, and the conditions that prove it is done.</w:t>
      </w:r>
    </w:p>
    <w:p>
      <w:pPr>
        <w:pStyle w:val="ListParagraph"/>
        <w:numPr>
          <w:ilvl w:val="0"/>
          <w:numId w:val="2"/>
        </w:numPr>
        <w:spacing w:after="60" w:line="264"/>
      </w:pPr>
      <w:r>
        <w:rPr>
          <w:rFonts w:ascii="Calibri" w:cs="Calibri" w:eastAsia="Calibri" w:hAnsi="Calibri"/>
          <w:sz w:val="21"/>
          <w:szCs w:val="21"/>
        </w:rPr>
        <w:t xml:space="preserve">Server names are written exactly as they appear in the source documents so they can be searched for.</w:t>
      </w:r>
    </w:p>
    <w:p>
      <w:pPr>
        <w:pStyle w:val="Heading1"/>
      </w:pPr>
      <w:r>
        <w:t xml:space="preserve">Part 1 – Utility at a glance</w:t>
      </w:r>
    </w:p>
    <w:p>
      <w:pPr>
        <w:pStyle w:val="ListParagraph"/>
        <w:numPr>
          <w:ilvl w:val="0"/>
          <w:numId w:val="2"/>
        </w:numPr>
        <w:spacing w:after="60" w:line="264"/>
      </w:pPr>
      <w:r>
        <w:rPr>
          <w:rFonts w:ascii="Calibri" w:cs="Calibri" w:eastAsia="Calibri" w:hAnsi="Calibri"/>
          <w:b/>
          <w:bCs/>
          <w:sz w:val="21"/>
          <w:szCs w:val="21"/>
        </w:rPr>
        <w:t xml:space="preserve">What Utility is.</w:t>
      </w:r>
      <w:r>
        <w:rPr>
          <w:rFonts w:ascii="Calibri" w:cs="Calibri" w:eastAsia="Calibri" w:hAnsi="Calibri"/>
          <w:sz w:val="21"/>
          <w:szCs w:val="21"/>
        </w:rPr>
        <w:t xml:space="preserve"> Utility is not one business application. It is a set of eight active shared servers that support teams use as jump servers. Teams sign in to them to install administrative tools, carry out support work and run scheduled jobs that should not run from their own laptops.</w:t>
      </w:r>
    </w:p>
    <w:p>
      <w:pPr>
        <w:pStyle w:val="ListParagraph"/>
        <w:numPr>
          <w:ilvl w:val="0"/>
          <w:numId w:val="2"/>
        </w:numPr>
        <w:spacing w:after="60" w:line="264"/>
      </w:pPr>
      <w:r>
        <w:rPr>
          <w:rFonts w:ascii="Calibri" w:cs="Calibri" w:eastAsia="Calibri" w:hAnsi="Calibri"/>
          <w:b/>
          <w:bCs/>
          <w:sz w:val="21"/>
          <w:szCs w:val="21"/>
        </w:rPr>
        <w:t xml:space="preserve">Where the servers are today.</w:t>
      </w:r>
      <w:r>
        <w:rPr>
          <w:rFonts w:ascii="Calibri" w:cs="Calibri" w:eastAsia="Calibri" w:hAnsi="Calibri"/>
          <w:sz w:val="21"/>
          <w:szCs w:val="21"/>
        </w:rPr>
        <w:t xml:space="preserve"> Four servers are in the Lee's Summit data centre and four are in the Lenexa data centre. Across both sites there is one development server, two test servers and five production servers.</w:t>
      </w:r>
    </w:p>
    <w:p>
      <w:pPr>
        <w:pStyle w:val="ListParagraph"/>
        <w:numPr>
          <w:ilvl w:val="0"/>
          <w:numId w:val="2"/>
        </w:numPr>
        <w:spacing w:after="60" w:line="264"/>
      </w:pPr>
      <w:r>
        <w:rPr>
          <w:rFonts w:ascii="Calibri" w:cs="Calibri" w:eastAsia="Calibri" w:hAnsi="Calibri"/>
          <w:b/>
          <w:bCs/>
          <w:sz w:val="21"/>
          <w:szCs w:val="21"/>
        </w:rPr>
        <w:t xml:space="preserve">Operating systems.</w:t>
      </w:r>
      <w:r>
        <w:rPr>
          <w:rFonts w:ascii="Calibri" w:cs="Calibri" w:eastAsia="Calibri" w:hAnsi="Calibri"/>
          <w:sz w:val="21"/>
          <w:szCs w:val="21"/>
        </w:rPr>
        <w:t xml:space="preserve"> Seven servers run Windows Server (2019, 2022 and 2025). One server, NETBACKUPPRD101, runs Red Hat Enterprise Linux 9.0 and hosts containers (Docker version 29.1.1).</w:t>
      </w:r>
    </w:p>
    <w:p>
      <w:pPr>
        <w:pStyle w:val="ListParagraph"/>
        <w:numPr>
          <w:ilvl w:val="0"/>
          <w:numId w:val="2"/>
        </w:numPr>
        <w:spacing w:after="60" w:line="264"/>
      </w:pPr>
      <w:r>
        <w:rPr>
          <w:rFonts w:ascii="Calibri" w:cs="Calibri" w:eastAsia="Calibri" w:hAnsi="Calibri"/>
          <w:b/>
          <w:bCs/>
          <w:sz w:val="21"/>
          <w:szCs w:val="21"/>
        </w:rPr>
        <w:t xml:space="preserve">A ninth, legacy server.</w:t>
      </w:r>
      <w:r>
        <w:rPr>
          <w:rFonts w:ascii="Calibri" w:cs="Calibri" w:eastAsia="Calibri" w:hAnsi="Calibri"/>
          <w:sz w:val="21"/>
          <w:szCs w:val="21"/>
        </w:rPr>
        <w:t xml:space="preserve"> LXENTUTL01 is a Windows Server 2012 machine that is already powered off. It is not one of the eight and needs a separate decision to retire it or ignore it.</w:t>
      </w:r>
    </w:p>
    <w:p>
      <w:pPr>
        <w:pStyle w:val="ListParagraph"/>
        <w:numPr>
          <w:ilvl w:val="0"/>
          <w:numId w:val="2"/>
        </w:numPr>
        <w:spacing w:after="60" w:line="264"/>
      </w:pPr>
      <w:r>
        <w:rPr>
          <w:rFonts w:ascii="Calibri" w:cs="Calibri" w:eastAsia="Calibri" w:hAnsi="Calibri"/>
          <w:b/>
          <w:bCs/>
          <w:sz w:val="21"/>
          <w:szCs w:val="21"/>
        </w:rPr>
        <w:t xml:space="preserve">How it will move.</w:t>
      </w:r>
      <w:r>
        <w:rPr>
          <w:rFonts w:ascii="Calibri" w:cs="Calibri" w:eastAsia="Calibri" w:hAnsi="Calibri"/>
          <w:sz w:val="21"/>
          <w:szCs w:val="21"/>
        </w:rPr>
        <w:t xml:space="preserve"> The agreed approach is Rehost, which means lifting the servers as they are into Azure virtual machines. The Execution Workflow uses Azure Migrate agentless replication for VMware to do this.</w:t>
      </w:r>
    </w:p>
    <w:p>
      <w:pPr>
        <w:pStyle w:val="ListParagraph"/>
        <w:numPr>
          <w:ilvl w:val="0"/>
          <w:numId w:val="2"/>
        </w:numPr>
        <w:spacing w:after="60" w:line="264"/>
      </w:pPr>
      <w:r>
        <w:rPr>
          <w:rFonts w:ascii="Calibri" w:cs="Calibri" w:eastAsia="Calibri" w:hAnsi="Calibri"/>
          <w:b/>
          <w:bCs/>
          <w:sz w:val="21"/>
          <w:szCs w:val="21"/>
        </w:rPr>
        <w:t xml:space="preserve">When.</w:t>
      </w:r>
      <w:r>
        <w:rPr>
          <w:rFonts w:ascii="Calibri" w:cs="Calibri" w:eastAsia="Calibri" w:hAnsi="Calibri"/>
          <w:sz w:val="21"/>
          <w:szCs w:val="21"/>
        </w:rPr>
        <w:t xml:space="preserve"> Utility is in Wave 3. Production cutover is planned for Thursday 18 March 2027, with the change request on Friday 12 March 2027, the Change Advisory Board on Wednesday 17 March 2027 and hypercare ending on 6 April 2027.</w:t>
      </w:r>
    </w:p>
    <w:p>
      <w:pPr>
        <w:pStyle w:val="ListParagraph"/>
        <w:numPr>
          <w:ilvl w:val="0"/>
          <w:numId w:val="2"/>
        </w:numPr>
        <w:spacing w:after="60" w:line="264"/>
      </w:pPr>
      <w:r>
        <w:rPr>
          <w:rFonts w:ascii="Calibri" w:cs="Calibri" w:eastAsia="Calibri" w:hAnsi="Calibri"/>
          <w:b/>
          <w:bCs/>
          <w:sz w:val="21"/>
          <w:szCs w:val="21"/>
        </w:rPr>
        <w:t xml:space="preserve">What it connects to.</w:t>
      </w:r>
      <w:r>
        <w:rPr>
          <w:rFonts w:ascii="Calibri" w:cs="Calibri" w:eastAsia="Calibri" w:hAnsi="Calibri"/>
          <w:sz w:val="21"/>
          <w:szCs w:val="21"/>
        </w:rPr>
        <w:t xml:space="preserve"> LSUTILPRD101 receives connections from the Remote Desktop licence server and from System Center Configuration Manager, and sends connections to Orion and ServiceNow. System Center Configuration Manager also connects in to OIMTST101. LXUTILPRD101 sends connections to Citrix. NETBACKUPPRD101 receives Secure Shell connections from Ansible and from a system recorded as "Development".</w:t>
      </w:r>
    </w:p>
    <w:p>
      <w:pPr>
        <w:pStyle w:val="ListParagraph"/>
        <w:numPr>
          <w:ilvl w:val="0"/>
          <w:numId w:val="2"/>
        </w:numPr>
        <w:spacing w:after="60" w:line="264"/>
      </w:pPr>
      <w:r>
        <w:rPr>
          <w:rFonts w:ascii="Calibri" w:cs="Calibri" w:eastAsia="Calibri" w:hAnsi="Calibri"/>
          <w:b/>
          <w:bCs/>
          <w:sz w:val="21"/>
          <w:szCs w:val="21"/>
        </w:rPr>
        <w:t xml:space="preserve">What is not there.</w:t>
      </w:r>
      <w:r>
        <w:rPr>
          <w:rFonts w:ascii="Calibri" w:cs="Calibri" w:eastAsia="Calibri" w:hAnsi="Calibri"/>
          <w:sz w:val="21"/>
          <w:szCs w:val="21"/>
        </w:rPr>
        <w:t xml:space="preserve"> The playbook narrative states that Utility has no load balancer, no dedicated network tunnel, no peering connection and no static IP address dependency.</w:t>
      </w:r>
    </w:p>
    <w:p>
      <w:pPr>
        <w:pStyle w:val="ListParagraph"/>
        <w:numPr>
          <w:ilvl w:val="0"/>
          <w:numId w:val="2"/>
        </w:numPr>
        <w:spacing w:after="60" w:line="264"/>
      </w:pPr>
      <w:r>
        <w:rPr>
          <w:rFonts w:ascii="Calibri" w:cs="Calibri" w:eastAsia="Calibri" w:hAnsi="Calibri"/>
          <w:b/>
          <w:bCs/>
          <w:sz w:val="21"/>
          <w:szCs w:val="21"/>
        </w:rPr>
        <w:t xml:space="preserve">State of the document.</w:t>
      </w:r>
      <w:r>
        <w:rPr>
          <w:rFonts w:ascii="Calibri" w:cs="Calibri" w:eastAsia="Calibri" w:hAnsi="Calibri"/>
          <w:sz w:val="21"/>
          <w:szCs w:val="21"/>
        </w:rPr>
        <w:t xml:space="preserve"> Version 0.4 is still a draft. A large share of the fields say "Not yet provided" and are tracked as requests to GEHA in Appendix B. The playbook is honest about this: it records gaps as findings instead of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2000"/>
        <w:gridCol w:w="1660"/>
      </w:tblGrid>
      <w:tr>
        <w:trPr>
          <w:tblHeader/>
        </w:trPr>
        <w:tc>
          <w:tcPr>
            <w:tcW w:type="dxa" w:w="19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Server</w:t>
            </w:r>
          </w:p>
        </w:tc>
        <w:tc>
          <w:tcPr>
            <w:tcW w:type="dxa" w:w="19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Environment and site</w:t>
            </w:r>
          </w:p>
        </w:tc>
        <w:tc>
          <w:tcPr>
            <w:tcW w:type="dxa" w:w="19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Operating system</w:t>
            </w:r>
          </w:p>
        </w:tc>
        <w:tc>
          <w:tcPr>
            <w:tcW w:type="dxa" w:w="20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Processors and memory</w:t>
            </w:r>
          </w:p>
        </w:tc>
        <w:tc>
          <w:tcPr>
            <w:tcW w:type="dxa" w:w="166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Disks</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EAUTILDEV201</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Development, Lee's Summit</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Windows Server 2019</w:t>
            </w:r>
          </w:p>
        </w:tc>
        <w:tc>
          <w:tcPr>
            <w:tcW w:type="dxa" w:w="20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 virtual processors, 8 GB</w:t>
            </w:r>
          </w:p>
        </w:tc>
        <w:tc>
          <w:tcPr>
            <w:tcW w:type="dxa" w:w="16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 disks, 210 GB</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OIMTST101</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Test, Lee's Summit</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Windows Server 2019</w:t>
            </w:r>
          </w:p>
        </w:tc>
        <w:tc>
          <w:tcPr>
            <w:tcW w:type="dxa" w:w="20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 virtual processors, 8 GB</w:t>
            </w:r>
          </w:p>
        </w:tc>
        <w:tc>
          <w:tcPr>
            <w:tcW w:type="dxa" w:w="16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 disk, 80 GB</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OIMTST102</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Test, Lenexa</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Windows Server 2019</w:t>
            </w:r>
          </w:p>
        </w:tc>
        <w:tc>
          <w:tcPr>
            <w:tcW w:type="dxa" w:w="20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 virtual processors, 8 GB</w:t>
            </w:r>
          </w:p>
        </w:tc>
        <w:tc>
          <w:tcPr>
            <w:tcW w:type="dxa" w:w="16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 disk, 80 GB</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LSUTILPRD101</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Production, Lee's Summit</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Windows Server 2019</w:t>
            </w:r>
          </w:p>
        </w:tc>
        <w:tc>
          <w:tcPr>
            <w:tcW w:type="dxa" w:w="20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 virtual processors, 32 GB</w:t>
            </w:r>
          </w:p>
        </w:tc>
        <w:tc>
          <w:tcPr>
            <w:tcW w:type="dxa" w:w="16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 disks, 550 GB</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LXUTILPRD101</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Production, Lenexa</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Windows Server 2019</w:t>
            </w:r>
          </w:p>
        </w:tc>
        <w:tc>
          <w:tcPr>
            <w:tcW w:type="dxa" w:w="20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4 virtual processors, 32 GB</w:t>
            </w:r>
          </w:p>
        </w:tc>
        <w:tc>
          <w:tcPr>
            <w:tcW w:type="dxa" w:w="16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 disks, 280 GB</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SECADMUTLPRD101</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Production, Lee's Summit</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Windows Server 2022</w:t>
            </w:r>
          </w:p>
        </w:tc>
        <w:tc>
          <w:tcPr>
            <w:tcW w:type="dxa" w:w="20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 virtual processors, 32 GB</w:t>
            </w:r>
          </w:p>
        </w:tc>
        <w:tc>
          <w:tcPr>
            <w:tcW w:type="dxa" w:w="16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 disk, 100 GB</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MSCOREOSPRD101</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Production, Lenexa</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Windows Server 2025</w:t>
            </w:r>
          </w:p>
        </w:tc>
        <w:tc>
          <w:tcPr>
            <w:tcW w:type="dxa" w:w="20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 virtual processors, 4 GB</w:t>
            </w:r>
          </w:p>
        </w:tc>
        <w:tc>
          <w:tcPr>
            <w:tcW w:type="dxa" w:w="16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 disk, 40 GB</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NETBACKUPPRD101</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Production, Lenexa</w:t>
            </w:r>
          </w:p>
        </w:tc>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Red Hat Enterprise Linux 9.0</w:t>
            </w:r>
          </w:p>
        </w:tc>
        <w:tc>
          <w:tcPr>
            <w:tcW w:type="dxa" w:w="20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 virtual processors, 16 GB</w:t>
            </w:r>
          </w:p>
        </w:tc>
        <w:tc>
          <w:tcPr>
            <w:tcW w:type="dxa" w:w="16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 disks, 1,330 GB</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LXENTUTL01 (out of scope)</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Legacy, Lenexa</w:t>
            </w:r>
          </w:p>
        </w:tc>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Windows Server 2012</w:t>
            </w:r>
          </w:p>
        </w:tc>
        <w:tc>
          <w:tcPr>
            <w:tcW w:type="dxa" w:w="20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Powered off</w:t>
            </w:r>
          </w:p>
        </w:tc>
        <w:tc>
          <w:tcPr>
            <w:tcW w:type="dxa" w:w="16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Not recorded</w:t>
            </w:r>
          </w:p>
        </w:tc>
      </w:tr>
    </w:tbl>
    <w:p>
      <w:pPr>
        <w:spacing w:after="120"/>
      </w:pPr>
    </w:p>
    <w:p>
      <w:pPr>
        <w:pStyle w:val="Heading1"/>
      </w:pPr>
      <w:r>
        <w:t xml:space="preserve">Part 2 – Section-by-section summary</w:t>
      </w:r>
    </w:p>
    <w:p>
      <w:pPr>
        <w:pStyle w:val="Heading2"/>
      </w:pPr>
      <w:r>
        <w:t xml:space="preserve">Table 1.0 – Key Information (front page)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A single view of the facts a reader needs first: what is moving, when, by which strategy and what drives the timing. Each field points to the section that owns it, and that section wins if the two disagree.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Playbook index identifier is GEHA-DCM-UTILITY-v0.1.</w:t>
      </w:r>
    </w:p>
    <w:p>
      <w:pPr>
        <w:pStyle w:val="ListParagraph"/>
        <w:numPr>
          <w:ilvl w:val="0"/>
          <w:numId w:val="2"/>
        </w:numPr>
        <w:spacing w:after="60" w:line="264"/>
      </w:pPr>
      <w:r>
        <w:rPr>
          <w:rFonts w:ascii="Calibri" w:cs="Calibri" w:eastAsia="Calibri" w:hAnsi="Calibri"/>
          <w:sz w:val="21"/>
          <w:szCs w:val="21"/>
        </w:rPr>
        <w:t xml:space="preserve">Application version is not a real product version. It lists processes seen on the hosts during interface discovery: svchost.exe, the Rapid7 agent (ir_agent.exe and rapid7_endpoint_broker.exe), the Splunk forwarder (splunkd.exe) and a Linux process.</w:t>
      </w:r>
    </w:p>
    <w:p>
      <w:pPr>
        <w:pStyle w:val="ListParagraph"/>
        <w:numPr>
          <w:ilvl w:val="0"/>
          <w:numId w:val="2"/>
        </w:numPr>
        <w:spacing w:after="60" w:line="264"/>
      </w:pPr>
      <w:r>
        <w:rPr>
          <w:rFonts w:ascii="Calibri" w:cs="Calibri" w:eastAsia="Calibri" w:hAnsi="Calibri"/>
          <w:sz w:val="21"/>
          <w:szCs w:val="21"/>
        </w:rPr>
        <w:t xml:space="preserve">Wave placement: Wave 3 under the plan of record BASELINE v2.1 (26 Aug 2026). The scheduling engine had placed it in Wave 4, and it is not listed in the Statement of Work Exhibit C, so a change order is required.</w:t>
      </w:r>
    </w:p>
    <w:p>
      <w:pPr>
        <w:pStyle w:val="ListParagraph"/>
        <w:numPr>
          <w:ilvl w:val="0"/>
          <w:numId w:val="2"/>
        </w:numPr>
        <w:spacing w:after="60" w:line="264"/>
      </w:pPr>
      <w:r>
        <w:rPr>
          <w:rFonts w:ascii="Calibri" w:cs="Calibri" w:eastAsia="Calibri" w:hAnsi="Calibri"/>
          <w:sz w:val="21"/>
          <w:szCs w:val="21"/>
        </w:rPr>
        <w:t xml:space="preserve">Migration strategy: Rehost (tracker ruling). The Matilda discovery tool recommends Replatform for production. This conflict is logged as decision W3-UTIL-D1.</w:t>
      </w:r>
    </w:p>
    <w:p>
      <w:pPr>
        <w:pStyle w:val="ListParagraph"/>
        <w:numPr>
          <w:ilvl w:val="0"/>
          <w:numId w:val="2"/>
        </w:numPr>
        <w:spacing w:after="60" w:line="264"/>
      </w:pPr>
      <w:r>
        <w:rPr>
          <w:rFonts w:ascii="Calibri" w:cs="Calibri" w:eastAsia="Calibri" w:hAnsi="Calibri"/>
          <w:sz w:val="21"/>
          <w:szCs w:val="21"/>
        </w:rPr>
        <w:t xml:space="preserve">Target cutover date: Thursday 18 March 2027. Change request Friday 12 March 2027. Change Advisory Board Wednesday 17 March 2027.</w:t>
      </w:r>
    </w:p>
    <w:p>
      <w:pPr>
        <w:pStyle w:val="ListParagraph"/>
        <w:numPr>
          <w:ilvl w:val="0"/>
          <w:numId w:val="2"/>
        </w:numPr>
        <w:spacing w:after="60" w:line="264"/>
      </w:pPr>
      <w:r>
        <w:rPr>
          <w:rFonts w:ascii="Calibri" w:cs="Calibri" w:eastAsia="Calibri" w:hAnsi="Calibri"/>
          <w:sz w:val="21"/>
          <w:szCs w:val="21"/>
        </w:rPr>
        <w:t xml:space="preserve">Cliff date: none on file. The driver is simply the data centre exit.</w:t>
      </w:r>
    </w:p>
    <w:p>
      <w:pPr>
        <w:pStyle w:val="ListParagraph"/>
        <w:numPr>
          <w:ilvl w:val="0"/>
          <w:numId w:val="2"/>
        </w:numPr>
        <w:spacing w:after="60" w:line="264"/>
      </w:pPr>
      <w:r>
        <w:rPr>
          <w:rFonts w:ascii="Calibri" w:cs="Calibri" w:eastAsia="Calibri" w:hAnsi="Calibri"/>
          <w:sz w:val="21"/>
          <w:szCs w:val="21"/>
        </w:rPr>
        <w:t xml:space="preserve">Key dependency: Orion (inferred from interface discovery; still to be confirmed with the Orion team).</w:t>
      </w:r>
    </w:p>
    <w:p>
      <w:pPr>
        <w:pStyle w:val="ListParagraph"/>
        <w:numPr>
          <w:ilvl w:val="0"/>
          <w:numId w:val="2"/>
        </w:numPr>
        <w:spacing w:after="60" w:line="264"/>
      </w:pPr>
      <w:r>
        <w:rPr>
          <w:rFonts w:ascii="Calibri" w:cs="Calibri" w:eastAsia="Calibri" w:hAnsi="Calibri"/>
          <w:sz w:val="21"/>
          <w:szCs w:val="21"/>
        </w:rPr>
        <w:t xml:space="preserve">Deployment pattern: eight hosts across three environments.</w:t>
      </w:r>
    </w:p>
    <w:p>
      <w:pPr>
        <w:pStyle w:val="ListParagraph"/>
        <w:numPr>
          <w:ilvl w:val="0"/>
          <w:numId w:val="2"/>
        </w:numPr>
        <w:spacing w:after="60" w:line="264"/>
      </w:pPr>
      <w:r>
        <w:rPr>
          <w:rFonts w:ascii="Calibri" w:cs="Calibri" w:eastAsia="Calibri" w:hAnsi="Calibri"/>
          <w:sz w:val="21"/>
          <w:szCs w:val="21"/>
        </w:rPr>
        <w:t xml:space="preserve">Not yet provided: user access method, target subscription and landing zone, target region and paired region, application tier, recovery time and recovery point objectives, and load balancer details.</w:t>
      </w:r>
    </w:p>
    <w:p>
      <w:pPr>
        <w:pStyle w:val="Heading1"/>
      </w:pPr>
      <w:r>
        <w:t xml:space="preserve">Section 1 – Document Control</w:t>
      </w:r>
    </w:p>
    <w:p>
      <w:pPr>
        <w:spacing w:after="120" w:line="276"/>
      </w:pPr>
      <w:r>
        <w:rPr>
          <w:rFonts w:ascii="Calibri" w:cs="Calibri" w:eastAsia="Calibri" w:hAnsi="Calibri"/>
          <w:sz w:val="21"/>
          <w:szCs w:val="21"/>
        </w:rPr>
        <w:t xml:space="preserve">This section proves who changed the playbook, who approves it and how reliable each statement is, so that someone reading it months later can judge how much to trust it.</w:t>
      </w:r>
    </w:p>
    <w:p>
      <w:pPr>
        <w:pStyle w:val="Heading2"/>
      </w:pPr>
      <w:r>
        <w:t xml:space="preserve">1.1 Version History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A running record of every version and what changed.</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Version 0.2 (13-Aug-2026): prepared for GEHA technical review; every evidenced field cites its source and date; missing facts moved to Appendix B as dated requests.</w:t>
      </w:r>
    </w:p>
    <w:p>
      <w:pPr>
        <w:pStyle w:val="ListParagraph"/>
        <w:numPr>
          <w:ilvl w:val="0"/>
          <w:numId w:val="2"/>
        </w:numPr>
        <w:spacing w:after="60" w:line="264"/>
      </w:pPr>
      <w:r>
        <w:rPr>
          <w:rFonts w:ascii="Calibri" w:cs="Calibri" w:eastAsia="Calibri" w:hAnsi="Calibri"/>
          <w:sz w:val="21"/>
          <w:szCs w:val="21"/>
        </w:rPr>
        <w:t xml:space="preserve">Version 0.3 (26-Aug-2026): reissued on the approved template (Azure Migration Playbook Template v3.0); key dates rebaselined to BASELINE v2.1.</w:t>
      </w:r>
    </w:p>
    <w:p>
      <w:pPr>
        <w:pStyle w:val="ListParagraph"/>
        <w:numPr>
          <w:ilvl w:val="0"/>
          <w:numId w:val="2"/>
        </w:numPr>
        <w:spacing w:after="60" w:line="264"/>
      </w:pPr>
      <w:r>
        <w:rPr>
          <w:rFonts w:ascii="Calibri" w:cs="Calibri" w:eastAsia="Calibri" w:hAnsi="Calibri"/>
          <w:sz w:val="21"/>
          <w:szCs w:val="21"/>
        </w:rPr>
        <w:t xml:space="preserve">Version 0.4 (26-Aug-2026): evidence filled in from an exhaustive search of all sources; conflicts recorded for a ruling instead of being resolved quietly.</w:t>
      </w:r>
    </w:p>
    <w:p>
      <w:pPr>
        <w:pStyle w:val="Heading2"/>
      </w:pPr>
      <w:r>
        <w:t xml:space="preserve">1.2 Approvers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Names the individuals who must approve the playbook.</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Application Administrator: Dale Gibson.</w:t>
      </w:r>
    </w:p>
    <w:p>
      <w:pPr>
        <w:pStyle w:val="ListParagraph"/>
        <w:numPr>
          <w:ilvl w:val="0"/>
          <w:numId w:val="2"/>
        </w:numPr>
        <w:spacing w:after="60" w:line="264"/>
      </w:pPr>
      <w:r>
        <w:rPr>
          <w:rFonts w:ascii="Calibri" w:cs="Calibri" w:eastAsia="Calibri" w:hAnsi="Calibri"/>
          <w:sz w:val="21"/>
          <w:szCs w:val="21"/>
        </w:rPr>
        <w:t xml:space="preserve">Cloud Architect for Citius Healthcare Consulting: George Galindo.</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Application Owner, Security Lead, and Migration and Platform Lead are all "to be provided by GEHA". No approval dates are recorded yet.</w:t>
      </w:r>
    </w:p>
    <w:p>
      <w:pPr>
        <w:pStyle w:val="Heading2"/>
      </w:pPr>
      <w:r>
        <w:t xml:space="preserve">1.3 Evidence Standard</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Sets the rule that every fact carries three things: a label (Evidenced, Inferred or Assumed), a named source, and the date on which it was true.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An inferred value must state the test that would confirm it.</w:t>
      </w:r>
    </w:p>
    <w:p>
      <w:pPr>
        <w:pStyle w:val="ListParagraph"/>
        <w:numPr>
          <w:ilvl w:val="0"/>
          <w:numId w:val="2"/>
        </w:numPr>
        <w:spacing w:after="60" w:line="264"/>
      </w:pPr>
      <w:r>
        <w:rPr>
          <w:rFonts w:ascii="Calibri" w:cs="Calibri" w:eastAsia="Calibri" w:hAnsi="Calibri"/>
          <w:sz w:val="21"/>
          <w:szCs w:val="21"/>
        </w:rPr>
        <w:t xml:space="preserve">An assumed value must state who confirms it and by when, and it becomes an open item in Section 10.4.</w:t>
      </w:r>
    </w:p>
    <w:p>
      <w:pPr>
        <w:pStyle w:val="ListParagraph"/>
        <w:numPr>
          <w:ilvl w:val="0"/>
          <w:numId w:val="2"/>
        </w:numPr>
        <w:spacing w:after="60" w:line="264"/>
      </w:pPr>
      <w:r>
        <w:rPr>
          <w:rFonts w:ascii="Calibri" w:cs="Calibri" w:eastAsia="Calibri" w:hAnsi="Calibri"/>
          <w:sz w:val="21"/>
          <w:szCs w:val="21"/>
        </w:rPr>
        <w:t xml:space="preserve">Anything looked for and not found is written down as a "confirmed absence", because an empty field and a confirmed absence mean different things at cutover.</w:t>
      </w:r>
    </w:p>
    <w:p>
      <w:pPr>
        <w:pStyle w:val="Heading2"/>
      </w:pPr>
      <w:r>
        <w:t xml:space="preserve">1.4 Reading Conventions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Explains the four kinds of text in the template so readers know what is final content and what is guidance.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Plain black text is content. Dark slate text marked "Description" stays in the final playbook.</w:t>
      </w:r>
    </w:p>
    <w:p>
      <w:pPr>
        <w:pStyle w:val="ListParagraph"/>
        <w:numPr>
          <w:ilvl w:val="0"/>
          <w:numId w:val="2"/>
        </w:numPr>
        <w:spacing w:after="60" w:line="264"/>
      </w:pPr>
      <w:r>
        <w:rPr>
          <w:rFonts w:ascii="Calibri" w:cs="Calibri" w:eastAsia="Calibri" w:hAnsi="Calibri"/>
          <w:sz w:val="21"/>
          <w:szCs w:val="21"/>
        </w:rPr>
        <w:t xml:space="preserve">Grey italic text in brackets, or marked "Instructions", must be answered and then deleted. Any left behind means the field was never completed.</w:t>
      </w:r>
    </w:p>
    <w:p>
      <w:pPr>
        <w:pStyle w:val="ListParagraph"/>
        <w:numPr>
          <w:ilvl w:val="0"/>
          <w:numId w:val="2"/>
        </w:numPr>
        <w:spacing w:after="60" w:line="264"/>
      </w:pPr>
      <w:r>
        <w:rPr>
          <w:rFonts w:ascii="Calibri" w:cs="Calibri" w:eastAsia="Calibri" w:hAnsi="Calibri"/>
          <w:sz w:val="21"/>
          <w:szCs w:val="21"/>
        </w:rPr>
        <w:t xml:space="preserve">Blue-grey text after "e.g." is example data only and must never be copied as an answer.</w:t>
      </w:r>
    </w:p>
    <w:p>
      <w:pPr>
        <w:pStyle w:val="ListParagraph"/>
        <w:numPr>
          <w:ilvl w:val="0"/>
          <w:numId w:val="2"/>
        </w:numPr>
        <w:spacing w:after="60" w:line="264"/>
      </w:pPr>
      <w:r>
        <w:rPr>
          <w:rFonts w:ascii="Calibri" w:cs="Calibri" w:eastAsia="Calibri" w:hAnsi="Calibri"/>
          <w:sz w:val="21"/>
          <w:szCs w:val="21"/>
        </w:rPr>
        <w:t xml:space="preserve">Checkboxes are closed choices; tick exactly one unless told otherwise.</w:t>
      </w:r>
    </w:p>
    <w:p>
      <w:pPr>
        <w:pStyle w:val="ListParagraph"/>
        <w:numPr>
          <w:ilvl w:val="0"/>
          <w:numId w:val="2"/>
        </w:numPr>
        <w:spacing w:after="60" w:line="264"/>
      </w:pPr>
      <w:r>
        <w:rPr>
          <w:rFonts w:ascii="Calibri" w:cs="Calibri" w:eastAsia="Calibri" w:hAnsi="Calibri"/>
          <w:sz w:val="21"/>
          <w:szCs w:val="21"/>
        </w:rPr>
        <w:t xml:space="preserve">Every table carries a numbered caption such as "Table 3.2 – Ownership &amp; Stakeholders".</w:t>
      </w:r>
    </w:p>
    <w:p>
      <w:pPr>
        <w:pStyle w:val="Heading2"/>
      </w:pPr>
      <w:r>
        <w:t xml:space="preserve">1.5 Completion Standard</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Defines when the playbook is "complete", so completeness means the same thing for every application.</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Two tiers exist. Full is mandatory for Tier 1, high-complexity and regulated applications. Reduced is allowed only for a single-tier or single-server application with no clustering, no partner-facing integration and no functional gap needing a decision.</w:t>
      </w:r>
    </w:p>
    <w:p>
      <w:pPr>
        <w:pStyle w:val="ListParagraph"/>
        <w:numPr>
          <w:ilvl w:val="0"/>
          <w:numId w:val="2"/>
        </w:numPr>
        <w:spacing w:after="60" w:line="264"/>
      </w:pPr>
      <w:r>
        <w:rPr>
          <w:rFonts w:ascii="Calibri" w:cs="Calibri" w:eastAsia="Calibri" w:hAnsi="Calibri"/>
          <w:sz w:val="21"/>
          <w:szCs w:val="21"/>
        </w:rPr>
        <w:t xml:space="preserve">Table 1.5b lists which sections can be shortened under Reduced. Section 4 (current state) and Section 7 (cutover runbook) can never be reduced.</w:t>
      </w:r>
    </w:p>
    <w:p>
      <w:pPr>
        <w:pStyle w:val="ListParagraph"/>
        <w:numPr>
          <w:ilvl w:val="0"/>
          <w:numId w:val="2"/>
        </w:numPr>
        <w:spacing w:after="60" w:line="264"/>
      </w:pPr>
      <w:r>
        <w:rPr>
          <w:rFonts w:ascii="Calibri" w:cs="Calibri" w:eastAsia="Calibri" w:hAnsi="Calibri"/>
          <w:sz w:val="21"/>
          <w:szCs w:val="21"/>
        </w:rPr>
        <w:t xml:space="preserve">Table 1.5c is an eight-point checklist: instructions deleted, every role named, every fact labelled and dated, every register entry given a disposition, absences recorded, open questions in Section 10.4, attachments registered, approvers signed.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No tier has been ticked, nobody is recorded as approving a Reduced tier, all eight checklist items are unticked and the playbook has not been baselined.</w:t>
      </w:r>
    </w:p>
    <w:p>
      <w:pPr>
        <w:pStyle w:val="Heading2"/>
      </w:pPr>
      <w:r>
        <w:t xml:space="preserve">1.6 Attachment Register</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the large or frequently refreshed evidence the playbook depends on, with location, owner and date, so it can be found without asking the author.</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Wave Plan Tracker revision 3 (07-Aug-2026).</w:t>
      </w:r>
    </w:p>
    <w:p>
      <w:pPr>
        <w:pStyle w:val="ListParagraph"/>
        <w:numPr>
          <w:ilvl w:val="0"/>
          <w:numId w:val="2"/>
        </w:numPr>
        <w:spacing w:after="60" w:line="264"/>
      </w:pPr>
      <w:r>
        <w:rPr>
          <w:rFonts w:ascii="Calibri" w:cs="Calibri" w:eastAsia="Calibri" w:hAnsi="Calibri"/>
          <w:sz w:val="21"/>
          <w:szCs w:val="21"/>
        </w:rPr>
        <w:t xml:space="preserve">Application Interface Details full pass of 451,897 rows (24-Dec-2025).</w:t>
      </w:r>
    </w:p>
    <w:p>
      <w:pPr>
        <w:pStyle w:val="ListParagraph"/>
        <w:numPr>
          <w:ilvl w:val="0"/>
          <w:numId w:val="2"/>
        </w:numPr>
        <w:spacing w:after="60" w:line="264"/>
      </w:pPr>
      <w:r>
        <w:rPr>
          <w:rFonts w:ascii="Calibri" w:cs="Calibri" w:eastAsia="Calibri" w:hAnsi="Calibri"/>
          <w:sz w:val="21"/>
          <w:szCs w:val="21"/>
        </w:rPr>
        <w:t xml:space="preserve">Matilda Discovery Assessment Summary (08-Aug-2026).</w:t>
      </w:r>
    </w:p>
    <w:p>
      <w:pPr>
        <w:pStyle w:val="ListParagraph"/>
        <w:numPr>
          <w:ilvl w:val="0"/>
          <w:numId w:val="2"/>
        </w:numPr>
        <w:spacing w:after="60" w:line="264"/>
      </w:pPr>
      <w:r>
        <w:rPr>
          <w:rFonts w:ascii="Calibri" w:cs="Calibri" w:eastAsia="Calibri" w:hAnsi="Calibri"/>
          <w:sz w:val="21"/>
          <w:szCs w:val="21"/>
        </w:rPr>
        <w:t xml:space="preserve">Server virtual machine inventory exported from vCenter (no date recorded).</w:t>
      </w:r>
    </w:p>
    <w:p>
      <w:pPr>
        <w:pStyle w:val="ListParagraph"/>
        <w:numPr>
          <w:ilvl w:val="0"/>
          <w:numId w:val="2"/>
        </w:numPr>
        <w:spacing w:after="60" w:line="264"/>
      </w:pPr>
      <w:r>
        <w:rPr>
          <w:rFonts w:ascii="Calibri" w:cs="Calibri" w:eastAsia="Calibri" w:hAnsi="Calibri"/>
          <w:sz w:val="21"/>
          <w:szCs w:val="21"/>
        </w:rPr>
        <w:t xml:space="preserve">Statement of Work ZCON-18111, signed 30-Jul-2026, Exhibit C.</w:t>
      </w:r>
    </w:p>
    <w:p>
      <w:pPr>
        <w:pStyle w:val="ListParagraph"/>
        <w:numPr>
          <w:ilvl w:val="0"/>
          <w:numId w:val="2"/>
        </w:numPr>
        <w:spacing w:after="60" w:line="264"/>
      </w:pPr>
      <w:r>
        <w:rPr>
          <w:rFonts w:ascii="Calibri" w:cs="Calibri" w:eastAsia="Calibri" w:hAnsi="Calibri"/>
          <w:sz w:val="21"/>
          <w:szCs w:val="21"/>
        </w:rPr>
        <w:t xml:space="preserve">Decision and Evidence Register, references REG-001 to REG-030 (13-Aug-2026).</w:t>
      </w:r>
    </w:p>
    <w:p>
      <w:pPr>
        <w:pStyle w:val="ListParagraph"/>
        <w:numPr>
          <w:ilvl w:val="0"/>
          <w:numId w:val="2"/>
        </w:numPr>
        <w:spacing w:after="60" w:line="264"/>
      </w:pPr>
      <w:r>
        <w:rPr>
          <w:rFonts w:ascii="Calibri" w:cs="Calibri" w:eastAsia="Calibri" w:hAnsi="Calibri"/>
          <w:sz w:val="21"/>
          <w:szCs w:val="21"/>
        </w:rPr>
        <w:t xml:space="preserve">All are held in the hash-sealed evidence corpus reference CHK-051.</w:t>
      </w:r>
    </w:p>
    <w:p>
      <w:pPr>
        <w:pStyle w:val="Heading1"/>
      </w:pPr>
      <w:r>
        <w:t xml:space="preserve">Section 2 – Executive Summary</w:t>
      </w:r>
    </w:p>
    <w:p>
      <w:pPr>
        <w:pStyle w:val="ListParagraph"/>
        <w:numPr>
          <w:ilvl w:val="0"/>
          <w:numId w:val="2"/>
        </w:numPr>
        <w:spacing w:after="60" w:line="264"/>
      </w:pPr>
      <w:r>
        <w:rPr>
          <w:rFonts w:ascii="Calibri" w:cs="Calibri" w:eastAsia="Calibri" w:hAnsi="Calibri"/>
          <w:sz w:val="21"/>
          <w:szCs w:val="21"/>
        </w:rPr>
        <w:t xml:space="preserve">Utility leaves the GEHA data centre under the Rehost disposition, described as a simple lift and shift suitable for development sandboxes, proofs of concept and utility environments.</w:t>
      </w:r>
    </w:p>
    <w:p>
      <w:pPr>
        <w:pStyle w:val="ListParagraph"/>
        <w:numPr>
          <w:ilvl w:val="0"/>
          <w:numId w:val="2"/>
        </w:numPr>
        <w:spacing w:after="60" w:line="264"/>
      </w:pPr>
      <w:r>
        <w:rPr>
          <w:rFonts w:ascii="Calibri" w:cs="Calibri" w:eastAsia="Calibri" w:hAnsi="Calibri"/>
          <w:sz w:val="21"/>
          <w:szCs w:val="21"/>
        </w:rPr>
        <w:t xml:space="preserve">Cutover is Thursday 18 March 2027 in Wave 3. There is no contract cliff against this application.</w:t>
      </w:r>
    </w:p>
    <w:p>
      <w:pPr>
        <w:pStyle w:val="ListParagraph"/>
        <w:numPr>
          <w:ilvl w:val="0"/>
          <w:numId w:val="2"/>
        </w:numPr>
        <w:spacing w:after="60" w:line="264"/>
      </w:pPr>
      <w:r>
        <w:rPr>
          <w:rFonts w:ascii="Calibri" w:cs="Calibri" w:eastAsia="Calibri" w:hAnsi="Calibri"/>
          <w:sz w:val="21"/>
          <w:szCs w:val="21"/>
        </w:rPr>
        <w:t xml:space="preserve">Users see one planned outage at cutover; the exact window is agreed at the readiness review.</w:t>
      </w:r>
    </w:p>
    <w:p>
      <w:pPr>
        <w:pStyle w:val="ListParagraph"/>
        <w:numPr>
          <w:ilvl w:val="0"/>
          <w:numId w:val="2"/>
        </w:numPr>
        <w:spacing w:after="60" w:line="264"/>
      </w:pPr>
      <w:r>
        <w:rPr>
          <w:rFonts w:ascii="Calibri" w:cs="Calibri" w:eastAsia="Calibri" w:hAnsi="Calibri"/>
          <w:sz w:val="21"/>
          <w:szCs w:val="21"/>
        </w:rPr>
        <w:t xml:space="preserve">Data centre decommissioning, facility exit and hardware disposal are outside the current Statement of Work.</w:t>
      </w:r>
    </w:p>
    <w:p>
      <w:pPr>
        <w:pStyle w:val="ListParagraph"/>
        <w:numPr>
          <w:ilvl w:val="0"/>
          <w:numId w:val="2"/>
        </w:numPr>
        <w:spacing w:after="60" w:line="264"/>
      </w:pPr>
      <w:r>
        <w:rPr>
          <w:rFonts w:ascii="Calibri" w:cs="Calibri" w:eastAsia="Calibri" w:hAnsi="Calibri"/>
          <w:sz w:val="21"/>
          <w:szCs w:val="21"/>
        </w:rPr>
        <w:t xml:space="preserve">The main threat to the date is late delivery of the information requested from GEHA in Appendix B, which is tracked weekly.</w:t>
      </w:r>
    </w:p>
    <w:p>
      <w:pPr>
        <w:pStyle w:val="Heading1"/>
      </w:pPr>
      <w:r>
        <w:t xml:space="preserve">Section 3 – Application Overview</w:t>
      </w:r>
    </w:p>
    <w:p>
      <w:pPr>
        <w:pStyle w:val="Heading2"/>
      </w:pPr>
      <w:r>
        <w:t xml:space="preserve">3.1 Business Purpose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Explains what the application does for the business.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No business narrative was found in any source (Wave Plan Tracker, business impact analysis with 338 rows, discovery sessions 1 to 3). The only description of purpose comes from the Section 4 narrative: shared jump servers for support teams.</w:t>
      </w:r>
    </w:p>
    <w:p>
      <w:pPr>
        <w:pStyle w:val="Heading2"/>
      </w:pPr>
      <w:r>
        <w:t xml:space="preserve">3.2 Ownership &amp; Stakeholders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Names a real person for every role, because migrations stall more often on unclear ownership than on technical difficulty.</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On-call and support (Admin and Support Manager): Dale Gibson.</w:t>
      </w:r>
    </w:p>
    <w:p>
      <w:pPr>
        <w:pStyle w:val="ListParagraph"/>
        <w:numPr>
          <w:ilvl w:val="0"/>
          <w:numId w:val="2"/>
        </w:numPr>
        <w:spacing w:after="60" w:line="264"/>
      </w:pPr>
      <w:r>
        <w:rPr>
          <w:rFonts w:ascii="Calibri" w:cs="Calibri" w:eastAsia="Calibri" w:hAnsi="Calibri"/>
          <w:sz w:val="21"/>
          <w:szCs w:val="21"/>
        </w:rPr>
        <w:t xml:space="preserve">Director at GEHA: John Dean.</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Business and Application Owner, Technical Owner, Security Contact, Database Administrator and Production Control, Network and Domain Name System and Firewall, Scheduling and Batch Automation, and Rollback Authority are all unresolved. No contact details are held for anyone, and nobody has confirmed their role.</w:t>
      </w:r>
    </w:p>
    <w:p>
      <w:pPr>
        <w:pStyle w:val="Heading2"/>
      </w:pPr>
      <w:r>
        <w:t xml:space="preserve">3.3 Criticality &amp; Service Levels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today's service levels so the Azure design can be measured against a documented reference. Any shortfall in the target needs the application owner's written acceptance.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Business calendar constraints: open enrolment season is a GEHA-wide constraint. Programme blackouts bar production cutovers from 1 November to 14 December 2026 and from 1 November to 13 December 2027, and no change requests run during the Christmas close from 22 December to 2 January.</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Business criticality, current availability commitment, Recovery Time Objective, Recovery Point Objective, peak usage window and regulatory scope are all requested from GEHA by 30-Sep-2026.</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section heading is followed by the words "Not applicable", yet the table beneath it still asks for values. This needs to be settled one way or the other.</w:t>
      </w:r>
    </w:p>
    <w:p>
      <w:pPr>
        <w:pStyle w:val="Heading2"/>
      </w:pPr>
      <w:r>
        <w:t xml:space="preserve">3.4 Performance Baseline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Captures how the servers perform today, so that any "it feels slower" complaint after the move can be tested against numbers.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Peak concurrency: activity classified as Low, with processor use Low, memory Moderate and storage Moderate (Matilda, 08-Aug-2026). These are utilisation bands, not measured peaks.</w:t>
      </w:r>
    </w:p>
    <w:p>
      <w:pPr>
        <w:pStyle w:val="ListParagraph"/>
        <w:numPr>
          <w:ilvl w:val="0"/>
          <w:numId w:val="2"/>
        </w:numPr>
        <w:spacing w:after="60" w:line="264"/>
      </w:pPr>
      <w:r>
        <w:rPr>
          <w:rFonts w:ascii="Calibri" w:cs="Calibri" w:eastAsia="Calibri" w:hAnsi="Calibri"/>
          <w:sz w:val="21"/>
          <w:szCs w:val="21"/>
        </w:rPr>
        <w:t xml:space="preserve">Transaction volume: recorded as counts of inbound connection rows by port (111, 49807, 135 and 49707). These are network observations, not business transactions.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Screen response times and batch or report durations are not provided.</w:t>
      </w:r>
    </w:p>
    <w:p>
      <w:pPr>
        <w:pStyle w:val="Heading1"/>
      </w:pPr>
      <w:r>
        <w:t xml:space="preserve">Section 4 – Current State</w:t>
      </w:r>
    </w:p>
    <w:p>
      <w:pPr>
        <w:spacing w:after="120" w:line="276"/>
      </w:pPr>
      <w:r>
        <w:rPr>
          <w:rFonts w:ascii="Calibri" w:cs="Calibri" w:eastAsia="Calibri" w:hAnsi="Calibri"/>
          <w:sz w:val="21"/>
          <w:szCs w:val="21"/>
        </w:rPr>
        <w:t xml:space="preserve">Section 4 is the complete account of Utility as it runs today. It is both the specification for sizing the Azure target and the evidence of what was running at exit. It can never be reduced.</w:t>
      </w:r>
    </w:p>
    <w:p>
      <w:pPr>
        <w:spacing w:after="120" w:line="276"/>
      </w:pPr>
      <w:r>
        <w:rPr>
          <w:rFonts w:ascii="Calibri" w:cs="Calibri" w:eastAsia="Calibri" w:hAnsi="Calibri"/>
          <w:sz w:val="21"/>
          <w:szCs w:val="21"/>
        </w:rPr>
        <w:t xml:space="preserve">The opening narrative confirms: eight active servers across development, test and production; mainly shared jump servers used by support teams for administrative tools, support activities and scheduled jobs; no load balancer, dedicated tunnel, peering connection or static IP dependency; standard security agents on every server, with other tools varying by team.</w:t>
      </w:r>
    </w:p>
    <w:p>
      <w:pPr>
        <w:pStyle w:val="Heading2"/>
      </w:pPr>
      <w:r>
        <w:t xml:space="preserve">4.0 Current State Architecture Diagram</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A single picture of today's deployment. Anything on the picture that is missing from the registers is undocumented by definition.</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 diagram is embedded at the start of Section 4 together with a Lucidchart link and a written walkthrough. It shows the Lee's Summit and Lenexa servers, the integrations listed above, LXENTUTL01 as powered off, and shared enterprise services (Active Directory and Entra ID, Splunk and Rapid7, backup policies of eight weeks for production and two weeks for development and test, and Dell PowerFlex and Isilon storage).</w:t>
      </w:r>
    </w:p>
    <w:p>
      <w:pPr>
        <w:pStyle w:val="ListParagraph"/>
        <w:numPr>
          <w:ilvl w:val="0"/>
          <w:numId w:val="2"/>
        </w:numPr>
        <w:spacing w:after="60" w:line="264"/>
      </w:pPr>
      <w:r>
        <w:rPr>
          <w:rFonts w:ascii="Calibri" w:cs="Calibri" w:eastAsia="Calibri" w:hAnsi="Calibri"/>
          <w:sz w:val="21"/>
          <w:szCs w:val="21"/>
        </w:rPr>
        <w:t xml:space="preserve">The walkthrough explains that NETBACKUPPRD101 is drawn in purple because it is the only Linux server and hosts containers.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formal placeholder under heading 4.0 still reads "Insert current state architecture diagram here", and the Diagram Record table (name, description, use case, source of truth, author, sign-off) is empty.</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walkthrough text contains name errors: "SECAMUTLPRD101" should be SECADMUTLPRD101, "OIMST101" should be OIMTST101, "NETBACKUPPPRD101" has an extra P, and the Lenexa test server is written as OIMTST101 when it is OIMTST102.</w:t>
      </w:r>
    </w:p>
    <w:p>
      <w:pPr>
        <w:pStyle w:val="Heading2"/>
      </w:pPr>
      <w:r>
        <w:t xml:space="preserve">4.1 Host Resource Specifications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The server list: role, operating system, environment, support status and whether each server holds data.</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All eight servers are Active. Roles are recorded as Web Server for EAUTILDEV201 and LSUTILPRD101, Container for NETBACKUPPRD101, and Infra for the rest.</w:t>
      </w:r>
    </w:p>
    <w:p>
      <w:pPr>
        <w:pStyle w:val="ListParagraph"/>
        <w:numPr>
          <w:ilvl w:val="0"/>
          <w:numId w:val="2"/>
        </w:numPr>
        <w:spacing w:after="60" w:line="264"/>
      </w:pPr>
      <w:r>
        <w:rPr>
          <w:rFonts w:ascii="Calibri" w:cs="Calibri" w:eastAsia="Calibri" w:hAnsi="Calibri"/>
          <w:sz w:val="21"/>
          <w:szCs w:val="21"/>
        </w:rPr>
        <w:t xml:space="preserve">"Holds data?" is recorded as No for all eight.</w:t>
      </w:r>
    </w:p>
    <w:p>
      <w:pPr>
        <w:pStyle w:val="ListParagraph"/>
        <w:numPr>
          <w:ilvl w:val="0"/>
          <w:numId w:val="2"/>
        </w:numPr>
        <w:spacing w:after="60" w:line="264"/>
      </w:pPr>
      <w:r>
        <w:rPr>
          <w:rFonts w:ascii="Calibri" w:cs="Calibri" w:eastAsia="Calibri" w:hAnsi="Calibri"/>
          <w:sz w:val="21"/>
          <w:szCs w:val="21"/>
        </w:rPr>
        <w:t xml:space="preserve">LXENTUTL01 is added as a legacy row: Windows Server 2012, powered off, vCenter note "Owner: EA Engineers EA Utility Server". It was not picked up by Matilda and needs a retire-or-ignore ruling (register W3-UTIL-2).</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column labelled "CMDB / Asset ID" contains site names (Lee Summit, Lenexa), not configuration management database identifiers.</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NETBACKUPPRD101 is recorded as holding no data, yet it has 1,330 GB of disk with high storage utilisation, and the Execution Workflow explicitly migrates its "persistent data". This needs correcting.</w:t>
      </w:r>
    </w:p>
    <w:p>
      <w:pPr>
        <w:pStyle w:val="Heading2"/>
      </w:pPr>
      <w:r>
        <w:t xml:space="preserve">4.1.1 Sizing &amp; Utilisation Baseline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Puts allocated capacity next to measured use, because the gap between them is where cloud cost is won or lost.</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Allocations match the server table in Part 1 of this summary.</w:t>
      </w:r>
    </w:p>
    <w:p>
      <w:pPr>
        <w:pStyle w:val="ListParagraph"/>
        <w:numPr>
          <w:ilvl w:val="0"/>
          <w:numId w:val="2"/>
        </w:numPr>
        <w:spacing w:after="60" w:line="264"/>
      </w:pPr>
      <w:r>
        <w:rPr>
          <w:rFonts w:ascii="Calibri" w:cs="Calibri" w:eastAsia="Calibri" w:hAnsi="Calibri"/>
          <w:sz w:val="21"/>
          <w:szCs w:val="21"/>
        </w:rPr>
        <w:t xml:space="preserve">Utilisation is given only as bands (Low, Moderate, High) from Matilda. Notable points: MSCOREOSPRD101 shows High average processor use on only 2 virtual processors and 4 GB; NETBACKUPPRD101, SECADMUTLPRD101, OIMTST101 and OIMTST102 show High storage utilisation.</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Network throughput for every server is requested from GEHA (Appendix B item 01, re-dated to 05-Sep-2026). No peak percentages or input and output operations per second are held.</w:t>
      </w:r>
    </w:p>
    <w:p>
      <w:pPr>
        <w:pStyle w:val="Heading2"/>
      </w:pPr>
      <w:r>
        <w:t xml:space="preserve">4.1.2 Operating System &amp; Platform Readiness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Confirms whether a supported migration path exists and whether each server will boot in Azure.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Operating system support is active on all eight: Windows Server 2019 until 9 January 2029, Windows Server 2022 until 15 October 2031, Windows Server 2025 until 15 October 2034, and Red Hat Enterprise Linux 9.0 until 31 May 2035.</w:t>
      </w:r>
    </w:p>
    <w:p>
      <w:pPr>
        <w:pStyle w:val="ListParagraph"/>
        <w:numPr>
          <w:ilvl w:val="0"/>
          <w:numId w:val="2"/>
        </w:numPr>
        <w:spacing w:after="60" w:line="264"/>
      </w:pPr>
      <w:r>
        <w:rPr>
          <w:rFonts w:ascii="Calibri" w:cs="Calibri" w:eastAsia="Calibri" w:hAnsi="Calibri"/>
          <w:sz w:val="21"/>
          <w:szCs w:val="21"/>
        </w:rPr>
        <w:t xml:space="preserve">The Linux server changes the Azure Migrate tooling path, and its Docker workload carries a recommendation to move to containers (see Section 5.1).</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Boot type and partition style (BIOS or UEFI, MBR or GPT), clustering or shared disks, static IP dependency, installed agents, licensing and Azure Hybrid Benefit eligibility, and disk encryption or special storage are all not yet provided.</w:t>
      </w:r>
    </w:p>
    <w:p>
      <w:pPr>
        <w:pStyle w:val="Heading2"/>
      </w:pPr>
      <w:r>
        <w:t xml:space="preserve">4.2 Application Software &amp; Dependencies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the software layer in the terms that matter for a move: version, vendor support, scheduled jobs, file storage, licence binding and client components.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Vendor support status from Matilda: Docker 29.1.1 is Expired, with the recommendation "Upgrade to Azure Container Instances"; Internet Information Services 10.0 is Active, "Retain".</w:t>
      </w:r>
    </w:p>
    <w:p>
      <w:pPr>
        <w:pStyle w:val="ListParagraph"/>
        <w:numPr>
          <w:ilvl w:val="0"/>
          <w:numId w:val="2"/>
        </w:numPr>
        <w:spacing w:after="60" w:line="264"/>
      </w:pPr>
      <w:r>
        <w:rPr>
          <w:rFonts w:ascii="Calibri" w:cs="Calibri" w:eastAsia="Calibri" w:hAnsi="Calibri"/>
          <w:sz w:val="21"/>
          <w:szCs w:val="21"/>
        </w:rPr>
        <w:t xml:space="preserve">File storage dependency: the enterprise storage platform (Dell PowerFlex and Isilon capacity report in the corpus).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Software vendor support position on Azure, vendor case reference, licence binding (MAC address, host fingerprint, dongle or licence server) and client-side dependencies are not provided.</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"Scheduled Jobs &amp; Batch" row lists Internet Information Services and Docker, which are services, not jobs. Since running scheduled jobs is one of the main reasons Utility exists, the actual job list is a real gap.</w:t>
      </w:r>
    </w:p>
    <w:p>
      <w:pPr>
        <w:pStyle w:val="Heading2"/>
      </w:pPr>
      <w:r>
        <w:t xml:space="preserve">4.3 Application Delivery &amp; Client Access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Describes how people reach the application, because that decides how much of the change lands on users' desks.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Primary access method: "No browser, SMB or RDP listener observed on these hosts".</w:t>
      </w:r>
    </w:p>
    <w:p>
      <w:pPr>
        <w:pStyle w:val="ListParagraph"/>
        <w:numPr>
          <w:ilvl w:val="0"/>
          <w:numId w:val="2"/>
        </w:numPr>
        <w:spacing w:after="60" w:line="264"/>
      </w:pPr>
      <w:r>
        <w:rPr>
          <w:rFonts w:ascii="Calibri" w:cs="Calibri" w:eastAsia="Calibri" w:hAnsi="Calibri"/>
          <w:sz w:val="21"/>
          <w:szCs w:val="21"/>
        </w:rPr>
        <w:t xml:space="preserve">Eight distinct endpoints outside the network were seen talking to these hosts.</w:t>
      </w:r>
    </w:p>
    <w:p>
      <w:pPr>
        <w:pStyle w:val="ListParagraph"/>
        <w:numPr>
          <w:ilvl w:val="0"/>
          <w:numId w:val="2"/>
        </w:numPr>
        <w:spacing w:after="60" w:line="264"/>
      </w:pPr>
      <w:r>
        <w:rPr>
          <w:rFonts w:ascii="Calibri" w:cs="Calibri" w:eastAsia="Calibri" w:hAnsi="Calibri"/>
          <w:sz w:val="21"/>
          <w:szCs w:val="21"/>
        </w:rPr>
        <w:t xml:space="preserve">Inbound listeners observed on ports 111, 49807, 135 and 49707.</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URLs, installed clients, desktop image, packaging, published delivery (Citrix or Azure Virtual Desktop), local endpoint configuration and client removal owner are all not provided.</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statement that no Remote Desktop listener was observed does not fit servers whose whole purpose is to be jump servers for support teams, and one of which talks to the Remote Desktop licence server. How administrators actually sign in needs confirming.</w:t>
      </w:r>
    </w:p>
    <w:p>
      <w:pPr>
        <w:pStyle w:val="Heading2"/>
      </w:pPr>
      <w:r>
        <w:t xml:space="preserve">4.4 Data &amp; Database Tier</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Describes databases: engine, size, extraction, retention, high availability, encryption and dependencies.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Every field is either "not yet provided" or "to be provided by GEHA". No database has actually been identified for Utility.</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If Utility has no database, this should be recorded as a confirmed absence under the evidence standard, instead of leaving a full set of database requests open.</w:t>
      </w:r>
    </w:p>
    <w:p>
      <w:pPr>
        <w:pStyle w:val="Heading2"/>
      </w:pPr>
      <w:r>
        <w:t xml:space="preserve">4.5 Identity &amp; Access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Identity is the area most often assumed to transfer safely and the first to fail after a rehost, so the current position must be exact.</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Enterprise position from the 26-Nov-2025 discovery session: Entra ID is used for single sign-on and guest access; on-premises Active Directory groups replicate through AD Connect; conditional access, service accounts, managed identities and role-based access for security groups are in use; Okta is no longer used.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Internal and external user counts, how access is governed, privileged access and multi-factor authentication for Utility itself are not provided.</w:t>
      </w:r>
    </w:p>
    <w:p>
      <w:pPr>
        <w:pStyle w:val="Heading2"/>
      </w:pPr>
      <w:r>
        <w:t xml:space="preserve">4.5.1 Single Sign-On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the sign-on set-up in enough detail to reproduce or replace it. Windows integrated authentication and LDAP binds only keep working in Azure if the servers stay domain-joined and can reach a domain controller.</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Whether federated sign-on is used, protocol, identity provider product, trust configuration, signing certificates, claims, user identifier, session lifetime, multi-factor enforcement point, non-sign-on access paths and any identity provider migration dependency are all not provided.</w:t>
      </w:r>
    </w:p>
    <w:p>
      <w:pPr>
        <w:pStyle w:val="Heading2"/>
      </w:pPr>
      <w:r>
        <w:t xml:space="preserve">4.5.2 Authorisation &amp; Entitlement Model</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what each layer grants (directory, application, database) and the authoritative permission store, because a description of roles is not an entitlement list.</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Every field is not provided, including the entitlement baseline export that would prove after cutover that access matches the source.</w:t>
      </w:r>
    </w:p>
    <w:p>
      <w:pPr>
        <w:pStyle w:val="Heading2"/>
      </w:pPr>
      <w:r>
        <w:t xml:space="preserve">4.5.3 Non-Interactive &amp; Bypass Access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Inventories access that does not go through interactive sign-on: keys, tokens, certificates, Secure Shell key pairs, shared accounts, allowlists and vendor access. These survive identity changes unnoticed.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checklist is unticked and the register is empty. For Utility this matters: NETBACKUPPRD101 accepts Secure Shell from Ansible and Development, which almost certainly relies on key pairs.</w:t>
      </w:r>
    </w:p>
    <w:p>
      <w:pPr>
        <w:pStyle w:val="Heading2"/>
      </w:pPr>
      <w:r>
        <w:t xml:space="preserve">4.5.4 Active Directory Security Group Register</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every Active Directory group that grants access, with effective (nested) membership, owner and target mapping. No group may be left unmapped.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 Given that different support teams use these jump servers, the groups that control who can sign in to each server are essential input.</w:t>
      </w:r>
    </w:p>
    <w:p>
      <w:pPr>
        <w:pStyle w:val="Heading2"/>
      </w:pPr>
      <w:r>
        <w:t xml:space="preserve">4.5.5 Service &amp; Application Account Register</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service accounts separately, because they fail quietly: nothing breaks at cutover, then a scheduled job fails hours later.</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 Every account must trace to a scheduled job, an integration or a retirement decision.</w:t>
      </w:r>
    </w:p>
    <w:p>
      <w:pPr>
        <w:pStyle w:val="Heading2"/>
      </w:pPr>
      <w:r>
        <w:t xml:space="preserve">4.6 Network</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only the network configuration that must change because of the move: Domain Name System records, firewall rules to remove, and external connectivity.</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GEHA runs 144 Domain Name System zones. Utility's records must be found within them; time-to-live values are not in the export.</w:t>
      </w:r>
    </w:p>
    <w:p>
      <w:pPr>
        <w:pStyle w:val="ListParagraph"/>
        <w:numPr>
          <w:ilvl w:val="0"/>
          <w:numId w:val="2"/>
        </w:numPr>
        <w:spacing w:after="60" w:line="264"/>
      </w:pPr>
      <w:r>
        <w:rPr>
          <w:rFonts w:ascii="Calibri" w:cs="Calibri" w:eastAsia="Calibri" w:hAnsi="Calibri"/>
          <w:sz w:val="21"/>
          <w:szCs w:val="21"/>
        </w:rPr>
        <w:t xml:space="preserve">Outbound destination ports observed: 443 (85 rows), 9998 (27 rows), 135 (11 rows), 389 LDAP (6 rows), 8089 (4 rows), and dynamic high ports 49667, 49669 and 49670 (2 rows each), plus eight endpoints outside the network.</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Firewall rules to remove are requested from GEHA (Appendix B item 06, due 01-Sep-2026).</w:t>
      </w:r>
    </w:p>
    <w:p>
      <w:pPr>
        <w:pStyle w:val="Heading2"/>
      </w:pPr>
      <w:r>
        <w:t xml:space="preserve">4.6.1 VPN &amp; Remote Connectivity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Separates remote-access VPN from site-to-site tunnels, because both behave differently after a move to Azure.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Programme network position (26-Nov-2025): traffic flows from on-premises through edge switches, Palo Alto firewalls, Megaport and ExpressRoute to Azure; each Azure region has a secured virtual hub with Azure Firewall; regions are directly peered. The ExpressRoute uplink was flagged as a possible timeline risk, with VPN or publicly reachable storage suggested as a bypass.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Whether VPN is needed to reach Utility, the VPN product, gateway, authentication, split tunnelling, dependent users and whether it is still needed afterwards are not provided. The site-to-site tunnel register and vendor third-party access tables are empty (the narrative says there are no tunnels).</w:t>
      </w:r>
    </w:p>
    <w:p>
      <w:pPr>
        <w:pStyle w:val="Heading2"/>
      </w:pPr>
      <w:r>
        <w:t xml:space="preserve">4.6.2 Load Balancer Configuration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If a load balancer is used, captures its exported running configuration: virtual servers, pools, persistence, health monitors, Transport Layer Security settings, rules, address translation and certificates.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"Load balancer in use?" is not answered, and every field is not provided.</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Section 4 narrative already states there is no load balancer. The playbook should record "No" here and close the table, instead of keeping it as an open request.</w:t>
      </w:r>
    </w:p>
    <w:p>
      <w:pPr>
        <w:pStyle w:val="Heading2"/>
      </w:pPr>
      <w:r>
        <w:t xml:space="preserve">4.7 Integrations &amp; Dependencies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Inventories every integration in both directions, with the far-side owning team, because that team controls when its side can change.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Orion – outbound, seen 83 times (svchost), criticality Low.</w:t>
      </w:r>
    </w:p>
    <w:p>
      <w:pPr>
        <w:pStyle w:val="ListParagraph"/>
        <w:numPr>
          <w:ilvl w:val="0"/>
          <w:numId w:val="2"/>
        </w:numPr>
        <w:spacing w:after="60" w:line="264"/>
      </w:pPr>
      <w:r>
        <w:rPr>
          <w:rFonts w:ascii="Calibri" w:cs="Calibri" w:eastAsia="Calibri" w:hAnsi="Calibri"/>
          <w:sz w:val="21"/>
          <w:szCs w:val="21"/>
        </w:rPr>
        <w:t xml:space="preserve">System Center Configuration Manager – inbound, seen 7 times (dllhost), Low.</w:t>
      </w:r>
    </w:p>
    <w:p>
      <w:pPr>
        <w:pStyle w:val="ListParagraph"/>
        <w:numPr>
          <w:ilvl w:val="0"/>
          <w:numId w:val="2"/>
        </w:numPr>
        <w:spacing w:after="60" w:line="264"/>
      </w:pPr>
      <w:r>
        <w:rPr>
          <w:rFonts w:ascii="Calibri" w:cs="Calibri" w:eastAsia="Calibri" w:hAnsi="Calibri"/>
          <w:sz w:val="21"/>
          <w:szCs w:val="21"/>
        </w:rPr>
        <w:t xml:space="preserve">Remote Desktop licence server – inbound, seen 2 times (svchost), Low.</w:t>
      </w:r>
    </w:p>
    <w:p>
      <w:pPr>
        <w:pStyle w:val="ListParagraph"/>
        <w:numPr>
          <w:ilvl w:val="0"/>
          <w:numId w:val="2"/>
        </w:numPr>
        <w:spacing w:after="60" w:line="264"/>
      </w:pPr>
      <w:r>
        <w:rPr>
          <w:rFonts w:ascii="Calibri" w:cs="Calibri" w:eastAsia="Calibri" w:hAnsi="Calibri"/>
          <w:sz w:val="21"/>
          <w:szCs w:val="21"/>
        </w:rPr>
        <w:t xml:space="preserve">ServiceNow – outbound, seen 2 times (svchost), Low.</w:t>
      </w:r>
    </w:p>
    <w:p>
      <w:pPr>
        <w:pStyle w:val="ListParagraph"/>
        <w:numPr>
          <w:ilvl w:val="0"/>
          <w:numId w:val="2"/>
        </w:numPr>
        <w:spacing w:after="60" w:line="264"/>
      </w:pPr>
      <w:r>
        <w:rPr>
          <w:rFonts w:ascii="Calibri" w:cs="Calibri" w:eastAsia="Calibri" w:hAnsi="Calibri"/>
          <w:sz w:val="21"/>
          <w:szCs w:val="21"/>
        </w:rPr>
        <w:t xml:space="preserve">Ansible – inbound Secure Shell, seen 2 times, Low.</w:t>
      </w:r>
    </w:p>
    <w:p>
      <w:pPr>
        <w:pStyle w:val="ListParagraph"/>
        <w:numPr>
          <w:ilvl w:val="0"/>
          <w:numId w:val="2"/>
        </w:numPr>
        <w:spacing w:after="60" w:line="264"/>
      </w:pPr>
      <w:r>
        <w:rPr>
          <w:rFonts w:ascii="Calibri" w:cs="Calibri" w:eastAsia="Calibri" w:hAnsi="Calibri"/>
          <w:sz w:val="21"/>
          <w:szCs w:val="21"/>
        </w:rPr>
        <w:t xml:space="preserve">Development – inbound Secure Shell, seen once, Low.</w:t>
      </w:r>
    </w:p>
    <w:p>
      <w:pPr>
        <w:pStyle w:val="ListParagraph"/>
        <w:numPr>
          <w:ilvl w:val="0"/>
          <w:numId w:val="2"/>
        </w:numPr>
        <w:spacing w:after="60" w:line="264"/>
      </w:pPr>
      <w:r>
        <w:rPr>
          <w:rFonts w:ascii="Calibri" w:cs="Calibri" w:eastAsia="Calibri" w:hAnsi="Calibri"/>
          <w:sz w:val="21"/>
          <w:szCs w:val="21"/>
        </w:rPr>
        <w:t xml:space="preserve">Citrix – outbound, seen once (svchost), Low.</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No far-side owning team is recorded for any integration. Frequencies are connection-row counts, not business frequencies.</w:t>
      </w:r>
    </w:p>
    <w:p>
      <w:pPr>
        <w:pStyle w:val="Heading2"/>
      </w:pPr>
      <w:r>
        <w:t xml:space="preserve">4.8 Certificates &amp; Secrets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every certificate and secret with its expiry checked against the cutover date, not today's date.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Requested from GEHA (Appendix B item 06, due 01-Sep-2026). The table is empty.</w:t>
      </w:r>
    </w:p>
    <w:p>
      <w:pPr>
        <w:pStyle w:val="Heading2"/>
      </w:pPr>
      <w:r>
        <w:t xml:space="preserve">4.9 Data Classification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how sensitive the data is and which rules follow from that, because it limits region, encryption, logging and retention choices.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Sensitivity, presence of personal, health or card data, residency, and encryption at rest and in transit are not answered.</w:t>
      </w:r>
    </w:p>
    <w:p>
      <w:pPr>
        <w:pStyle w:val="Heading2"/>
      </w:pPr>
      <w:r>
        <w:t xml:space="preserve">4.10 Environment Inventory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every environment, not just production, since non-production often holds real data and integrations.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Development: one server, non-production data.</w:t>
      </w:r>
    </w:p>
    <w:p>
      <w:pPr>
        <w:pStyle w:val="ListParagraph"/>
        <w:numPr>
          <w:ilvl w:val="0"/>
          <w:numId w:val="2"/>
        </w:numPr>
        <w:spacing w:after="60" w:line="264"/>
      </w:pPr>
      <w:r>
        <w:rPr>
          <w:rFonts w:ascii="Calibri" w:cs="Calibri" w:eastAsia="Calibri" w:hAnsi="Calibri"/>
          <w:sz w:val="21"/>
          <w:szCs w:val="21"/>
        </w:rPr>
        <w:t xml:space="preserve">Test: two servers, non-production data.</w:t>
      </w:r>
    </w:p>
    <w:p>
      <w:pPr>
        <w:pStyle w:val="ListParagraph"/>
        <w:numPr>
          <w:ilvl w:val="0"/>
          <w:numId w:val="2"/>
        </w:numPr>
        <w:spacing w:after="60" w:line="264"/>
      </w:pPr>
      <w:r>
        <w:rPr>
          <w:rFonts w:ascii="Calibri" w:cs="Calibri" w:eastAsia="Calibri" w:hAnsi="Calibri"/>
          <w:sz w:val="21"/>
          <w:szCs w:val="21"/>
        </w:rPr>
        <w:t xml:space="preserve">Production: five servers, live data.</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Endpoints for each environment are not provided. The "Migration Wave" column shows host counts instead of wave numbers.</w:t>
      </w:r>
    </w:p>
    <w:p>
      <w:pPr>
        <w:pStyle w:val="Heading2"/>
      </w:pPr>
      <w:r>
        <w:t xml:space="preserve">4.11 Availability &amp; Backup Position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availability and backup only as far as they affect the migration: topology, a verified restore point, achieved recovery point and retention.</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Backup policies from vCenter: LSUTILPRD101 "8WK Backup, ansiblehost"; LXUTILPRD101, SECADMUTLPRD101, MSCOREOSPRD101 and NETBACKUPPRD101 "8WK Backup"; OIMTST101, OIMTST102 and EAUTILDEV201 "2WK Backup".</w:t>
      </w:r>
    </w:p>
    <w:p>
      <w:pPr>
        <w:pStyle w:val="ListParagraph"/>
        <w:numPr>
          <w:ilvl w:val="0"/>
          <w:numId w:val="2"/>
        </w:numPr>
        <w:spacing w:after="60" w:line="264"/>
      </w:pPr>
      <w:r>
        <w:rPr>
          <w:rFonts w:ascii="Calibri" w:cs="Calibri" w:eastAsia="Calibri" w:hAnsi="Calibri"/>
          <w:sz w:val="21"/>
          <w:szCs w:val="21"/>
        </w:rPr>
        <w:t xml:space="preserve">No restore has ever been verified according to the records; this is requested (Appendix B item 17, register W3-UTIL-3).</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High availability topology, single points of failure, retention and legal hold, achieved recovery point today and any disaster recovery replica are not provided.</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"ansiblehost" tag on LSUTILPRD101 suggests this server may itself be the Ansible host that connects to NETBACKUPPRD101. If so, those two production servers are coupled and their cutover order matters.</w:t>
      </w:r>
    </w:p>
    <w:p>
      <w:pPr>
        <w:pStyle w:val="Heading1"/>
      </w:pPr>
      <w:r>
        <w:t xml:space="preserve">Section 5 – Target State</w:t>
      </w:r>
    </w:p>
    <w:p>
      <w:pPr>
        <w:spacing w:after="120" w:line="276"/>
      </w:pPr>
      <w:r>
        <w:rPr>
          <w:rFonts w:ascii="Calibri" w:cs="Calibri" w:eastAsia="Calibri" w:hAnsi="Calibri"/>
          <w:sz w:val="21"/>
          <w:szCs w:val="21"/>
        </w:rPr>
        <w:t xml:space="preserve">Section 5 is meant to record each Azure design decision with its reasoning, what was rejected and who accepted the trade-off. Read against Section 4, the difference between the two is the migration. At version 0.4 almost every design decision in this section is still open.</w:t>
      </w:r>
    </w:p>
    <w:p>
      <w:pPr>
        <w:pStyle w:val="Heading2"/>
      </w:pPr>
      <w:r>
        <w:t xml:space="preserve">5.0 Target State Architecture Diagram</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The picture of Utility as it will run in Azure, used for design review, sign-off and briefing the platform and network teams.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Not supplied. The diagram record is empty apart from the name "Target State on Azure". (Part 4 of this summary includes an illustrative end-state picture drawn from the two documents.)</w:t>
      </w:r>
    </w:p>
    <w:p>
      <w:pPr>
        <w:pStyle w:val="Heading2"/>
      </w:pPr>
      <w:r>
        <w:t xml:space="preserve">5.1 Migration Strategy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Settles the strategy per component and records what was rejected, since the question is always revisited later.</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Utility application tier: Rehost, per the authoritative Wave Plan Tracker.</w:t>
      </w:r>
    </w:p>
    <w:p>
      <w:pPr>
        <w:pStyle w:val="ListParagraph"/>
        <w:numPr>
          <w:ilvl w:val="0"/>
          <w:numId w:val="2"/>
        </w:numPr>
        <w:spacing w:after="60" w:line="264"/>
      </w:pPr>
      <w:r>
        <w:rPr>
          <w:rFonts w:ascii="Calibri" w:cs="Calibri" w:eastAsia="Calibri" w:hAnsi="Calibri"/>
          <w:sz w:val="21"/>
          <w:szCs w:val="21"/>
        </w:rPr>
        <w:t xml:space="preserve">Conflict recorded, not resolved: Matilda classes Utility production as Replatform (infrastructure and platform services) and recommends moving the Docker workload on NETBACKUPPRD101 to Azure Container Instances; development and test are Rehost. The tracker ruling stands; the container question is decision W3-UTIL-D1.</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target service is not recorded in the tracker.</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The Execution Workflow has already taken a position: NETBACKUPPRD101 moves as a complete virtual machine, and conversion to Azure Container Instances is a separate future change. Decision W3-UTIL-D1 should be formally closed to match.</w:t>
      </w:r>
    </w:p>
    <w:p>
      <w:pPr>
        <w:pStyle w:val="Heading2"/>
      </w:pPr>
      <w:r>
        <w:t xml:space="preserve">5.2 Landing Zone Placement</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where the workload lands in Azure and what it inherits by landing there, especially policy.</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The tenant export shows 0 management groups and 95 subscriptions; the target management group is still an open decision.</w:t>
      </w:r>
    </w:p>
    <w:p>
      <w:pPr>
        <w:pStyle w:val="ListParagraph"/>
        <w:numPr>
          <w:ilvl w:val="0"/>
          <w:numId w:val="2"/>
        </w:numPr>
        <w:spacing w:after="60" w:line="264"/>
      </w:pPr>
      <w:r>
        <w:rPr>
          <w:rFonts w:ascii="Calibri" w:cs="Calibri" w:eastAsia="Calibri" w:hAnsi="Calibri"/>
          <w:sz w:val="21"/>
          <w:szCs w:val="21"/>
        </w:rPr>
        <w:t xml:space="preserve">42 policy assignments exist in the tenant and will apply at whatever scope Utility lands in.</w:t>
      </w:r>
    </w:p>
    <w:p>
      <w:pPr>
        <w:pStyle w:val="ListParagraph"/>
        <w:numPr>
          <w:ilvl w:val="0"/>
          <w:numId w:val="2"/>
        </w:numPr>
        <w:spacing w:after="60" w:line="264"/>
      </w:pPr>
      <w:r>
        <w:rPr>
          <w:rFonts w:ascii="Calibri" w:cs="Calibri" w:eastAsia="Calibri" w:hAnsi="Calibri"/>
          <w:sz w:val="21"/>
          <w:szCs w:val="21"/>
        </w:rPr>
        <w:t xml:space="preserve">Primary region is referenced to the Azure Landing Zone discovery meeting of 1 July 2026, but the actual region name is not quoted.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Subscription name and identifier, resource groups, naming standard, tagging, policy exemptions, the workload team's permissions and quota confirmation are all not provided.</w:t>
      </w:r>
    </w:p>
    <w:p>
      <w:pPr>
        <w:pStyle w:val="Heading2"/>
      </w:pPr>
      <w:r>
        <w:t xml:space="preserve">5.3 Compute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Sizes the target servers from measured use, records the availability design and the disk layout.</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Right-sizing input from Matilda: development 2 processors, 8 GB, 209.4 GB; test 6 processors, 16 GB, 158.9 GB; production 16 processors, 115.3 GB, 2,455.1 GB. Totals 24 processors, 139.3 GB memory and 2,823.4 GB storage.</w:t>
      </w:r>
    </w:p>
    <w:p>
      <w:pPr>
        <w:pStyle w:val="ListParagraph"/>
        <w:numPr>
          <w:ilvl w:val="0"/>
          <w:numId w:val="2"/>
        </w:numPr>
        <w:spacing w:after="60" w:line="264"/>
      </w:pPr>
      <w:r>
        <w:rPr>
          <w:rFonts w:ascii="Calibri" w:cs="Calibri" w:eastAsia="Calibri" w:hAnsi="Calibri"/>
          <w:sz w:val="21"/>
          <w:szCs w:val="21"/>
        </w:rPr>
        <w:t xml:space="preserve">Matilda classes the move as infrastructure, low complexity, low priority.</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Virtual machine sizes, assessment report reference, availability design (zones, sets or single instance), disk types, proximity needs, extensions and agents, Trusted Launch, boot diagnostics, auto-shutdown for non-production and scaling approach are all open.</w:t>
      </w:r>
    </w:p>
    <w:p>
      <w:pPr>
        <w:pStyle w:val="Heading2"/>
      </w:pPr>
      <w:r>
        <w:t xml:space="preserve">5.4 Data Platform</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Would define the target database service, its sizing, availability, backup and migration method.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Every field is open. As in Section 4.4, no database has been identified for Utility.</w:t>
      </w:r>
    </w:p>
    <w:p>
      <w:pPr>
        <w:pStyle w:val="Heading2"/>
      </w:pPr>
      <w:r>
        <w:t xml:space="preserve">5.5 Storage &amp; File Services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Covers target storage, redundancy, file share access, copy duration and whether permissions survive.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Only the current platform is described: Dell PowerFlex (Lee's Summit 262 TB, 62 percent used; Lenexa 222 TB, 58 percent used; no snapshots or replication) and Dell Isilon (415 TB at each site, 68 and 60 percent used, replicated between sites with SyncIQ).</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Redundancy option, access tier, share access method, migration method and duration, and permission preservation are not provided. It is not stated which, if any, shares Utility actually uses.</w:t>
      </w:r>
    </w:p>
    <w:p>
      <w:pPr>
        <w:pStyle w:val="Heading2"/>
      </w:pPr>
      <w:r>
        <w:t xml:space="preserve">5.6 Network</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addressing, segmentation, connectivity, firewall, routing, private endpoints, load balancing and Domain Name System for the target.</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Connectivity to on-premises: ExpressRoute (programme record).</w:t>
      </w:r>
    </w:p>
    <w:p>
      <w:pPr>
        <w:pStyle w:val="ListParagraph"/>
        <w:numPr>
          <w:ilvl w:val="0"/>
          <w:numId w:val="2"/>
        </w:numPr>
        <w:spacing w:after="60" w:line="264"/>
      </w:pPr>
      <w:r>
        <w:rPr>
          <w:rFonts w:ascii="Calibri" w:cs="Calibri" w:eastAsia="Calibri" w:hAnsi="Calibri"/>
          <w:sz w:val="21"/>
          <w:szCs w:val="21"/>
        </w:rPr>
        <w:t xml:space="preserve">Hub and spoke: referenced to the landing zone meeting of 1 July 2026.</w:t>
      </w:r>
    </w:p>
    <w:p>
      <w:pPr>
        <w:pStyle w:val="ListParagraph"/>
        <w:numPr>
          <w:ilvl w:val="0"/>
          <w:numId w:val="2"/>
        </w:numPr>
        <w:spacing w:after="60" w:line="264"/>
      </w:pPr>
      <w:r>
        <w:rPr>
          <w:rFonts w:ascii="Calibri" w:cs="Calibri" w:eastAsia="Calibri" w:hAnsi="Calibri"/>
          <w:sz w:val="21"/>
          <w:szCs w:val="21"/>
        </w:rPr>
        <w:t xml:space="preserve">Firewall and outbound control: Azure Firewall Premium is the cloud network security layer, with no Palo Alto in Azure; intrusion detection and prevention is on; Transport Layer Security inspection and web address filtering are not enabled; Zscaler is used for user traffic only; server outbound traffic goes through Azure Firewall.</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target network topology diagram, virtual network and subnets, IP addressing, network security groups, route tables, private endpoints, load balancing, web application firewall and certificates are all not provided.</w:t>
      </w:r>
    </w:p>
    <w:p>
      <w:pPr>
        <w:pStyle w:val="Heading2"/>
      </w:pPr>
      <w:r>
        <w:t xml:space="preserve">5.7 Identity &amp; Access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Makes sure every current-state identity entry resolves to a target decision, since unresolved entries are the most common cause of access failure after cutover.</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Directory model (domain-joined to on-premises Active Directory, Entra Domain Services, Entra joined or mixed), application authentication, group-to-role mapping, Azure role assignments, managed identities, remaining service accounts, key vault, privileged access, break-glass access and programmatic access are all open.</w:t>
      </w:r>
    </w:p>
    <w:p>
      <w:pPr>
        <w:pStyle w:val="Heading2"/>
      </w:pPr>
      <w:r>
        <w:t xml:space="preserve">5.8 Security &amp; Compliance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Assigns each protective control (posture management, endpoint protection, encryption, logging, vulnerability management, patching) to a named tool and owner.</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Posture tooling and encryption in transit reference the firewall migration meeting (Azure Firewall Premium, intrusion detection on, Transport Layer Security inspection off).</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Endpoint protection, encryption at rest (platform or customer-managed keys), security log collection, vulnerability management, patching, compliance obligations and data residency are not provided.</w:t>
      </w:r>
    </w:p>
    <w:p>
      <w:pPr>
        <w:pStyle w:val="Heading2"/>
      </w:pPr>
      <w:r>
        <w:t xml:space="preserve">5.9 Resilience &amp; Recovery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States the target backup and recovery design against today's service levels, so any step backwards is visible.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Programme backup position (5-Dec-2025): Cohesity is the backup product; backups are held locally and at a remote data centre for eight weeks; long-term backups go to Azure Blob storage for three years.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Backup policy, restore test, target recovery time and point, availability commitment, disaster recovery design and disaster recovery test are open.</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Appendix A decision REG-017 records that Azure Backup has been withdrawn. So the product that will protect the Utility virtual machines once they are in Azure still has to be named.</w:t>
      </w:r>
    </w:p>
    <w:p>
      <w:pPr>
        <w:pStyle w:val="Heading2"/>
      </w:pPr>
      <w:r>
        <w:t xml:space="preserve">5.10 Monitoring &amp; Operations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Specifies workspace, diagnostics, metrics, alerts and who receives them, because Azure provides no monitoring unless it is configured.</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Utility inherits the platform standard Log Analytics workspace.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Diagnostic settings, platform and guest metrics, alert rules, action groups, application monitoring, dashboards and update management are not provided.</w:t>
      </w:r>
    </w:p>
    <w:p>
      <w:pPr>
        <w:pStyle w:val="Heading2"/>
      </w:pPr>
      <w:r>
        <w:t xml:space="preserve">5.11 Cost &amp; Licensing</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the estimated run cost and the licensing it depends on.</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Matilda estimate per month: 799 US dollars on demand, 498 US dollars with a one-year reservation, 345 US dollars with a three-year reservation.</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Comparison with on-premises cost, reservation decision, Azure Hybrid Benefit, non-production cost controls, budget and alerts, and chargeback tags are not provided.</w:t>
      </w:r>
    </w:p>
    <w:p>
      <w:pPr>
        <w:pStyle w:val="Heading2"/>
      </w:pPr>
      <w:r>
        <w:t xml:space="preserve">5.12 Deployment Method &amp; Infrastructure as Code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how the target is deployed, where the code and pipeline live and how drift is detected.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Not decided in the playbook. The Execution Workflow, however, already specifies Bicep templates run through an approved pipeline with a what-if review.</w:t>
      </w:r>
    </w:p>
    <w:p>
      <w:pPr>
        <w:pStyle w:val="Heading2"/>
      </w:pPr>
      <w:r>
        <w:t xml:space="preserve">5.13 Hardcoded Values &amp; Configuration Changes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Lists every hardcoded value (connection strings, host names, IP addresses, paths, certificates, licence servers, service accounts) with current and target value and whether it can be changed before the outage.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w:t>
      </w:r>
    </w:p>
    <w:p>
      <w:pPr>
        <w:pStyle w:val="Heading2"/>
      </w:pPr>
      <w:r>
        <w:t xml:space="preserve">5.14 Well-Architected Review Record</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Records design decisions and accepted trade-offs against the five Well-Architected pillars: reliability, security, cost optimisation, operational excellence and performance efficiency.</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 for all five pillars.</w:t>
      </w:r>
    </w:p>
    <w:p>
      <w:pPr>
        <w:pStyle w:val="Heading2"/>
      </w:pPr>
      <w:r>
        <w:t xml:space="preserve">5.15 Scheduled Job &amp; Batch Orchestration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Maps each scheduled job to its target trigger, owning team, run-as identity and first run after cutover, and checks time-zone effects.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The job register, scheduler agent installation, job dependencies and failure alerting are not provided. The time-zone check is written as a reminder only.</w:t>
      </w:r>
    </w:p>
    <w:p>
      <w:pPr>
        <w:pStyle w:val="Heading1"/>
      </w:pPr>
      <w:r>
        <w:t xml:space="preserve">Section 6 – Migration Preparation</w:t>
      </w:r>
    </w:p>
    <w:p>
      <w:pPr>
        <w:spacing w:after="120" w:line="276"/>
      </w:pPr>
      <w:r>
        <w:rPr>
          <w:rFonts w:ascii="Calibri" w:cs="Calibri" w:eastAsia="Calibri" w:hAnsi="Calibri"/>
          <w:sz w:val="21"/>
          <w:szCs w:val="21"/>
        </w:rPr>
        <w:t xml:space="preserve">Everything that can be finished before the cutover window should be, so the window is kept for work that truly cannot be done in advance.</w:t>
      </w:r>
    </w:p>
    <w:p>
      <w:pPr>
        <w:pStyle w:val="Heading2"/>
      </w:pPr>
      <w:r>
        <w:t xml:space="preserve">6.1 Move Groups &amp; Sequencing</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Groups servers that must move together, based on observed dependencies, and sequences non-production ahead of production.</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One move group, "Utility – primary", holding all eight servers, planned for 18 March 2027, and depending on the current-state validation milestone of 28 August 2026.</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A single group with one date for all eight servers conflicts with the section's own rule that non-production goes first, and with the Execution Workflow, which migrates EAUTILDEV201 first, then OIMTST101 and OIMTST102, then production host by host.</w:t>
      </w:r>
    </w:p>
    <w:p>
      <w:pPr>
        <w:pStyle w:val="Heading2"/>
      </w:pPr>
      <w:r>
        <w:t xml:space="preserve">6.2 Migration Method per Component</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Pairs each migration method with the rollback it really supports.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All components: Azure Migrate. Downtime to be confirmed at rehearsal. Rollback available because the source is kept powered off and bootable.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Owner not named.</w:t>
      </w:r>
    </w:p>
    <w:p>
      <w:pPr>
        <w:pStyle w:val="Heading2"/>
      </w:pPr>
      <w:r>
        <w:t xml:space="preserve">6.3 Replication Build &amp; Bandwidth</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Plans and measures replication, which is usually the longest preparation activity.</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Initial seed: 2,823 GB across eight hosts. The note says this wave is outside the pre-seed window.</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Replication appliance, available bandwidth, delta lag, throttling, and monitoring and failure handling are not provided.</w:t>
      </w:r>
    </w:p>
    <w:p>
      <w:pPr>
        <w:pStyle w:val="Heading2"/>
      </w:pPr>
      <w:r>
        <w:t xml:space="preserve">6.4 Migration Rehearsal</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Proves the target boots, runs and is reachable, in an isolated network, and is the only valid source of cutover timings. At least two passes, the last one defect-free.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Test environment, passes, validation, timings, defects, clean-up and sign-off are all open.</w:t>
      </w:r>
    </w:p>
    <w:p>
      <w:pPr>
        <w:pStyle w:val="Heading2"/>
      </w:pPr>
      <w:r>
        <w:t xml:space="preserve">6.5 Testing Strategy</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Defines what is tested, by whom, and the entry and exit criteria for functional, data, integration, performance, security, backup and disaster recovery testing.</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Test types are listed with suggested exit criteria (for example, all priority one cases pass with no open severity one or two defects; performance at or better than the Section 3.4 baseline).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Scope, owners and entry criteria are not filled in.</w:t>
      </w:r>
    </w:p>
    <w:p>
      <w:pPr>
        <w:pStyle w:val="Heading2"/>
      </w:pPr>
      <w:r>
        <w:t xml:space="preserve">6.6 Change Freeze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Stops both source and target changing so that what was tested is what gets migrated. Patching and restarts are included in the freeze.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Programme blackouts and the Statement of Work blackout clause are quoted: production cutovers are not scheduled during blackouts unless GEHA specifically approves.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Patching exclusion, target configuration freeze, who enforces the freeze and the change record are open.</w:t>
      </w:r>
    </w:p>
    <w:p>
      <w:pPr>
        <w:pStyle w:val="Heading2"/>
      </w:pPr>
      <w:r>
        <w:t xml:space="preserve">6.7 Readiness Review</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Held before the go or no-go gate to confirm every team knows its role, has tested access and agrees the rollback criteria.</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Date, attendees, confirmed access, verification procedures, rollback criteria and outstanding actions are open.</w:t>
      </w:r>
    </w:p>
    <w:p>
      <w:pPr>
        <w:pStyle w:val="Heading2"/>
      </w:pPr>
      <w:r>
        <w:t xml:space="preserve">6.8 Training, Communications &amp; External Notification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Covers what users will notice, when they are told, external party notice and the service desk briefing.</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All fields open.</w:t>
      </w:r>
    </w:p>
    <w:p>
      <w:pPr>
        <w:pStyle w:val="Heading1"/>
      </w:pPr>
      <w:r>
        <w:t xml:space="preserve">Section 7 – Cutover Runbook</w:t>
      </w:r>
    </w:p>
    <w:p>
      <w:pPr>
        <w:pStyle w:val="Heading2"/>
      </w:pPr>
      <w:r>
        <w:t xml:space="preserve">7.1 Go / No-Go Gate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The formal decision point, taken on evidence, owned by one named person, held days before the window.</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Fourteen gate criteria are listed: rehearsal defect-free; replication lag at zero; user acceptance testing signed; integrations tested end to end; identity and group mapping verified; backup applied and restore proven; monitoring live; readiness actions closed; freeze and change approved; source retention confirmed; external parties confirmed; vendor support confirmed; scheduled jobs re-pointed with first-run owners; support and hypercare staffed.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Meeting date, attendees, decision owner and evidence per criterion are not provided. All criteria are unrated.</w:t>
      </w:r>
    </w:p>
    <w:p>
      <w:pPr>
        <w:pStyle w:val="Heading2"/>
      </w:pPr>
      <w:r>
        <w:t xml:space="preserve">7.2 Cutover Team &amp; Bridge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Names every cutover role with a backup and phone number, plus the bridge, update cadence and escalation path.</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All roles (cutover lead, migration, database, identity, network, integrations, application owner, rollback authority) and the bridge details are open.</w:t>
      </w:r>
    </w:p>
    <w:p>
      <w:pPr>
        <w:pStyle w:val="Heading2"/>
      </w:pPr>
      <w:r>
        <w:t xml:space="preserve">7.3 Cutover Schedule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The step-by-step runbook for the window, with clock times, owners, verification and rollback triggers.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An 18-step skeleton exists: pre-window checks (lag at zero, freeze in effect, pre-staged changes); quiesce (stop services, stop writes, final synchronisation); migrate (run migration, boot and check, apply IP, domain, agents and licensing, apply configuration changes); validate (data, sign-in, integrations, name resolution, monitoring and backup); release (go or no-go, go-live notice).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Times, elapsed durations, named owners and most verifications are open.</w:t>
      </w:r>
    </w:p>
    <w:p>
      <w:pPr>
        <w:pStyle w:val="Heading2"/>
      </w:pPr>
      <w:r>
        <w:t xml:space="preserve">7.4 Data Cut-Off</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Fixes the exact moment the source stops accepting work, and how in-flight and late-arriving work is handled.</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Cutover date of record: 18 March 2027 (the older engine dates of 14 February 2028 and 8 January 2028 are superseded). Clock time to be set at the readiness review.</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In-flight handling, manual capture and late-arriving data are open.</w:t>
      </w:r>
    </w:p>
    <w:p>
      <w:pPr>
        <w:pStyle w:val="Heading2"/>
      </w:pPr>
      <w:r>
        <w:t xml:space="preserve">7.5 Access Verification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Verifies access group by group and account by account in the target, and tests break-glass before the window.</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All six checks are open.</w:t>
      </w:r>
    </w:p>
    <w:p>
      <w:pPr>
        <w:pStyle w:val="Heading2"/>
      </w:pPr>
      <w:r>
        <w:t xml:space="preserve">7.6 Integration Re-Point</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Tracks each integration change, who makes it, whether it can be pre-staged, its lead time and test evidence.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w:t>
      </w:r>
    </w:p>
    <w:p>
      <w:pPr>
        <w:pStyle w:val="Heading2"/>
      </w:pPr>
      <w:r>
        <w:t xml:space="preserve">7.7 External Party Cutover Tracker</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Tracks each outside party from notification to tested, with a fallback if they are not ready.</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Empty.</w:t>
      </w:r>
    </w:p>
    <w:p>
      <w:pPr>
        <w:pStyle w:val="Heading2"/>
      </w:pPr>
      <w:r>
        <w:t xml:space="preserve">7.8 Reconciliation &amp; Acceptance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Compares target to source against agreed control totals and records the owner's acceptance time.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Tolerance, error queue and acceptance sign-off are open.</w:t>
      </w:r>
    </w:p>
    <w:p>
      <w:pPr>
        <w:pStyle w:val="Heading2"/>
      </w:pPr>
      <w:r>
        <w:t xml:space="preserve">7.9 Rollback</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Explains that rollback for a replication migration means going back to the source as it was at cut-off, because replication only flows one way.</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Source remains intact, powered off and bootable through hypercare.</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Trigger criteria, decision deadline, steps, duration, point of no return, treatment of data entered after cutover, rehearsal and rollback authority are open.</w:t>
      </w:r>
    </w:p>
    <w:p>
      <w:pPr>
        <w:pStyle w:val="Heading1"/>
      </w:pPr>
      <w:r>
        <w:t xml:space="preserve">Section 8 – Post-Cutover &amp; Service Handover</w:t>
      </w:r>
    </w:p>
    <w:p>
      <w:pPr>
        <w:pStyle w:val="Heading2"/>
      </w:pPr>
      <w:r>
        <w:t xml:space="preserve">8.1 Hypercare</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Defines the period of extra support after go-live, with a roster, escalation path and objective exit criteria.</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The hypercare period cites the Statement of Work but gives no duration. (Section 11 gives an end date of 6 April 2027.)</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Roster, steady-state support owner, triage process, escalation and exit criteria are open.</w:t>
      </w:r>
    </w:p>
    <w:p>
      <w:pPr>
        <w:pStyle w:val="Heading2"/>
      </w:pPr>
      <w:r>
        <w:t xml:space="preserve">8.2 Operational Readiness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Confirms that operational controls actually work in production: an alert has fired, backup and restore are proven, patching is enrolled, logs reach the security information system, cost baseline captured, right-sizing review scheduled, scheduled jobs confirmed running, runbook published, known issues handed over and configuration baseline recorded.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All ten checks are open.</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In the playbook this subsection has no heading text (the heading line is blank); only the table caption "Table 8.2 – Operational Readiness" identifies it.</w:t>
      </w:r>
    </w:p>
    <w:p>
      <w:pPr>
        <w:pStyle w:val="Heading2"/>
      </w:pPr>
      <w:r>
        <w:t xml:space="preserve">8.3 Decommission</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Treats decommissioning as a sequence of checks, carried out only after the rollback retention period ends.</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Ten steps are listed: no activity for a set number of days; retention obligations met; retention released; final archive taken and restore-tested; access and service accounts disabled; application-only groups retired; load balancer objects retired; tunnels retired; firewall rules, Domain Name System records and certificates removed; infrastructure decommissioned and licences reclaimed.</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Retention period, expiry date and who releases it are open. Note that data centre decommissioning is outside the Statement of Work.</w:t>
      </w:r>
    </w:p>
    <w:p>
      <w:pPr>
        <w:pStyle w:val="Heading2"/>
      </w:pPr>
      <w:r>
        <w:t xml:space="preserve">8.4 Post-Migration Review</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Captures lessons while they are fresh so the next application benefits.</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All fields open, as expected before migration.</w:t>
      </w:r>
    </w:p>
    <w:p>
      <w:pPr>
        <w:pStyle w:val="Heading1"/>
      </w:pPr>
      <w:r>
        <w:t xml:space="preserve">Section 9 – Roles &amp; Responsibilities</w:t>
      </w:r>
    </w:p>
    <w:p>
      <w:pPr>
        <w:pStyle w:val="ListParagraph"/>
        <w:numPr>
          <w:ilvl w:val="0"/>
          <w:numId w:val="2"/>
        </w:numPr>
        <w:spacing w:after="60" w:line="264"/>
      </w:pPr>
      <w:r>
        <w:rPr>
          <w:rFonts w:ascii="Calibri" w:cs="Calibri" w:eastAsia="Calibri" w:hAnsi="Calibri"/>
          <w:sz w:val="21"/>
          <w:szCs w:val="21"/>
        </w:rPr>
        <w:t xml:space="preserve">A responsibility matrix covers thirteen tasks across Application Owner, Migration Team, Platform and Cloud, Security, End Users and the Admin and Support Manager (Dale Gibson).</w:t>
      </w:r>
    </w:p>
    <w:p>
      <w:pPr>
        <w:pStyle w:val="ListParagraph"/>
        <w:numPr>
          <w:ilvl w:val="0"/>
          <w:numId w:val="2"/>
        </w:numPr>
        <w:spacing w:after="60" w:line="264"/>
      </w:pPr>
      <w:r>
        <w:rPr>
          <w:rFonts w:ascii="Calibri" w:cs="Calibri" w:eastAsia="Calibri" w:hAnsi="Calibri"/>
          <w:sz w:val="21"/>
          <w:szCs w:val="21"/>
        </w:rPr>
        <w:t xml:space="preserve">Platform and Cloud is accountable and responsible for landing zone placement, and accountable for sizing and cost model and for operational readiness.</w:t>
      </w:r>
    </w:p>
    <w:p>
      <w:pPr>
        <w:pStyle w:val="ListParagraph"/>
        <w:numPr>
          <w:ilvl w:val="0"/>
          <w:numId w:val="2"/>
        </w:numPr>
        <w:spacing w:after="60" w:line="264"/>
      </w:pPr>
      <w:r>
        <w:rPr>
          <w:rFonts w:ascii="Calibri" w:cs="Calibri" w:eastAsia="Calibri" w:hAnsi="Calibri"/>
          <w:sz w:val="21"/>
          <w:szCs w:val="21"/>
        </w:rPr>
        <w:t xml:space="preserve">The Migration Team is accountable and responsible for target design, replication build and migration rehearsal.</w:t>
      </w:r>
    </w:p>
    <w:p>
      <w:pPr>
        <w:pStyle w:val="ListParagraph"/>
        <w:numPr>
          <w:ilvl w:val="0"/>
          <w:numId w:val="2"/>
        </w:numPr>
        <w:spacing w:after="60" w:line="264"/>
      </w:pPr>
      <w:r>
        <w:rPr>
          <w:rFonts w:ascii="Calibri" w:cs="Calibri" w:eastAsia="Calibri" w:hAnsi="Calibri"/>
          <w:sz w:val="21"/>
          <w:szCs w:val="21"/>
        </w:rPr>
        <w:t xml:space="preserve">Security is accountable for identity and role-based access.</w:t>
      </w:r>
    </w:p>
    <w:p>
      <w:pPr>
        <w:pStyle w:val="ListParagraph"/>
        <w:numPr>
          <w:ilvl w:val="0"/>
          <w:numId w:val="2"/>
        </w:numPr>
        <w:spacing w:after="60" w:line="264"/>
      </w:pPr>
      <w:r>
        <w:rPr>
          <w:rFonts w:ascii="Calibri" w:cs="Calibri" w:eastAsia="Calibri" w:hAnsi="Calibri"/>
          <w:sz w:val="21"/>
          <w:szCs w:val="21"/>
        </w:rPr>
        <w:t xml:space="preserve">The Application Owner is accountable for go or no-go, cutover execution, reconciliation, rollback and decommission.</w:t>
      </w:r>
    </w:p>
    <w:p>
      <w:pPr>
        <w:pStyle w:val="ListParagraph"/>
        <w:numPr>
          <w:ilvl w:val="0"/>
          <w:numId w:val="2"/>
        </w:numPr>
        <w:spacing w:after="60" w:line="264"/>
      </w:pPr>
      <w:r>
        <w:rPr>
          <w:rFonts w:ascii="Calibri" w:cs="Calibri" w:eastAsia="Calibri" w:hAnsi="Calibri"/>
          <w:sz w:val="21"/>
          <w:szCs w:val="21"/>
        </w:rPr>
        <w:t xml:space="preserve">Dale Gibson is accountable for integration re-pointing.</w:t>
      </w:r>
    </w:p>
    <w:p>
      <w:pPr>
        <w:pStyle w:val="ListParagraph"/>
        <w:numPr>
          <w:ilvl w:val="0"/>
          <w:numId w:val="2"/>
        </w:numPr>
        <w:spacing w:after="60" w:line="264"/>
      </w:pPr>
      <w:r>
        <w:rPr>
          <w:rFonts w:ascii="Calibri" w:cs="Calibri" w:eastAsia="Calibri" w:hAnsi="Calibri"/>
          <w:sz w:val="21"/>
          <w:szCs w:val="21"/>
        </w:rPr>
        <w:t xml:space="preserve">Where this matrix and Section 3.2 disagree, Section 3.2 wins. Because the Application Owner is not named in Section 3.2, the person accountable for go or no-go and rollback is effectively unnamed.</w:t>
      </w:r>
    </w:p>
    <w:p>
      <w:pPr>
        <w:pStyle w:val="Heading1"/>
      </w:pPr>
      <w:r>
        <w:t xml:space="preserve">Section 10 – Risks, Assumptions, Dependencies &amp; Open Items</w:t>
      </w:r>
    </w:p>
    <w:p>
      <w:pPr>
        <w:pStyle w:val="Heading2"/>
      </w:pPr>
      <w:r>
        <w:t xml:space="preserve">10.1 Risks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Potential events only, each with likelihood, impact, an action as mitigation and an owner.</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One live risk: the Rehost ruling conflicts with the container-replatform recommendation for NETBACKUPPRD101; rule at the Wave 3 design gate (W3-UTIL-D1). Owner John Dean, although the owner cell in the source tracker is noted as vacant. An earlier schedule risk was withdrawn after rebaselining.</w:t>
      </w:r>
    </w:p>
    <w:p>
      <w:pPr>
        <w:spacing w:after="120" w:line="276"/>
      </w:pPr>
      <w:r>
        <w:rPr>
          <w:rFonts w:ascii="Calibri" w:cs="Calibri" w:eastAsia="Calibri" w:hAnsi="Calibri"/>
          <w:b/>
          <w:bCs/>
          <w:sz w:val="21"/>
          <w:szCs w:val="21"/>
        </w:rPr>
        <w:t xml:space="preserve">What is still open</w:t>
      </w:r>
    </w:p>
    <w:p>
      <w:pPr>
        <w:pStyle w:val="ListParagraph"/>
        <w:numPr>
          <w:ilvl w:val="0"/>
          <w:numId w:val="2"/>
        </w:numPr>
        <w:spacing w:after="60" w:line="264"/>
      </w:pPr>
      <w:r>
        <w:rPr>
          <w:rFonts w:ascii="Calibri" w:cs="Calibri" w:eastAsia="Calibri" w:hAnsi="Calibri"/>
          <w:sz w:val="21"/>
          <w:szCs w:val="21"/>
        </w:rPr>
        <w:t xml:space="preserve">Likelihood and impact are not rated.</w:t>
      </w:r>
    </w:p>
    <w:p>
      <w:pPr>
        <w:pStyle w:val="Heading2"/>
      </w:pPr>
      <w:r>
        <w:t xml:space="preserve">10.2 Assumptions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Things taken as true but not yet proven, with an owner and confirm-by date.</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Effort size S equals six weeks with four parallel migration tracks – open, owned by GEHA programme management office.</w:t>
      </w:r>
    </w:p>
    <w:p>
      <w:pPr>
        <w:pStyle w:val="ListParagraph"/>
        <w:numPr>
          <w:ilvl w:val="0"/>
          <w:numId w:val="2"/>
        </w:numPr>
        <w:spacing w:after="60" w:line="264"/>
      </w:pPr>
      <w:r>
        <w:rPr>
          <w:rFonts w:ascii="Calibri" w:cs="Calibri" w:eastAsia="Calibri" w:hAnsi="Calibri"/>
          <w:sz w:val="21"/>
          <w:szCs w:val="21"/>
        </w:rPr>
        <w:t xml:space="preserve">The wave window runs from 1 August 2026 onwards – confirmed.</w:t>
      </w:r>
    </w:p>
    <w:p>
      <w:pPr>
        <w:pStyle w:val="Heading2"/>
      </w:pPr>
      <w:r>
        <w:t xml:space="preserve">10.3 Dependencies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Requirements controlled by people outside the migration team.</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Current state validated (milestone G1) by 28 August 2026 – shown as on track.</w:t>
      </w:r>
    </w:p>
    <w:p>
      <w:pPr>
        <w:pStyle w:val="ListParagraph"/>
        <w:numPr>
          <w:ilvl w:val="0"/>
          <w:numId w:val="2"/>
        </w:numPr>
        <w:spacing w:after="60" w:line="264"/>
      </w:pPr>
      <w:r>
        <w:rPr>
          <w:rFonts w:ascii="Calibri" w:cs="Calibri" w:eastAsia="Calibri" w:hAnsi="Calibri"/>
          <w:sz w:val="21"/>
          <w:szCs w:val="21"/>
        </w:rPr>
        <w:t xml:space="preserve">Azure landing zone and target subscription confirmed – owned by the GEHA cloud platform team, needed-by date "to be agreed", status At Risk.</w:t>
      </w:r>
    </w:p>
    <w:p>
      <w:pPr>
        <w:pStyle w:val="Heading2"/>
      </w:pPr>
      <w:r>
        <w:t xml:space="preserve">10.4 Open Items</w:t>
      </w:r>
    </w:p>
    <w:p>
      <w:pPr>
        <w:spacing w:after="80" w:line="276"/>
      </w:pPr>
      <w:r>
        <w:rPr>
          <w:rFonts w:ascii="Calibri" w:cs="Calibri" w:eastAsia="Calibri" w:hAnsi="Calibri"/>
          <w:b/>
          <w:bCs/>
          <w:color w:val="1D4A73"/>
          <w:sz w:val="21"/>
          <w:szCs w:val="21"/>
        </w:rPr>
        <w:t xml:space="preserve">What this section is for: </w:t>
      </w:r>
      <w:r>
        <w:rPr>
          <w:rFonts w:ascii="Calibri" w:cs="Calibri" w:eastAsia="Calibri" w:hAnsi="Calibri"/>
          <w:sz w:val="21"/>
          <w:szCs w:val="21"/>
        </w:rPr>
        <w:t xml:space="preserve">The single list of unresolved questions, used as the agenda for the weekly session with GEHA.</w:t>
      </w:r>
    </w:p>
    <w:p>
      <w:pPr>
        <w:spacing w:after="120" w:line="276"/>
      </w:pPr>
      <w:r>
        <w:rPr>
          <w:rFonts w:ascii="Calibri" w:cs="Calibri" w:eastAsia="Calibri" w:hAnsi="Calibri"/>
          <w:b/>
          <w:bCs/>
          <w:sz w:val="21"/>
          <w:szCs w:val="21"/>
        </w:rPr>
        <w:t xml:space="preserve">What the playbook currently records</w:t>
      </w:r>
    </w:p>
    <w:p>
      <w:pPr>
        <w:pStyle w:val="ListParagraph"/>
        <w:numPr>
          <w:ilvl w:val="0"/>
          <w:numId w:val="2"/>
        </w:numPr>
        <w:spacing w:after="60" w:line="264"/>
      </w:pPr>
      <w:r>
        <w:rPr>
          <w:rFonts w:ascii="Calibri" w:cs="Calibri" w:eastAsia="Calibri" w:hAnsi="Calibri"/>
          <w:sz w:val="21"/>
          <w:szCs w:val="21"/>
        </w:rPr>
        <w:t xml:space="preserve">Appendix B item 01 (Azure Migrate project access and first discovery export) – overdue.</w:t>
      </w:r>
    </w:p>
    <w:p>
      <w:pPr>
        <w:pStyle w:val="ListParagraph"/>
        <w:numPr>
          <w:ilvl w:val="0"/>
          <w:numId w:val="2"/>
        </w:numPr>
        <w:spacing w:after="60" w:line="264"/>
      </w:pPr>
      <w:r>
        <w:rPr>
          <w:rFonts w:ascii="Calibri" w:cs="Calibri" w:eastAsia="Calibri" w:hAnsi="Calibri"/>
          <w:sz w:val="21"/>
          <w:szCs w:val="21"/>
        </w:rPr>
        <w:t xml:space="preserve">Appendix B item 02 (formal G1 gate completion date) – overdue.</w:t>
      </w:r>
    </w:p>
    <w:p>
      <w:pPr>
        <w:pStyle w:val="ListParagraph"/>
        <w:numPr>
          <w:ilvl w:val="0"/>
          <w:numId w:val="2"/>
        </w:numPr>
        <w:spacing w:after="60" w:line="264"/>
      </w:pPr>
      <w:r>
        <w:rPr>
          <w:rFonts w:ascii="Calibri" w:cs="Calibri" w:eastAsia="Calibri" w:hAnsi="Calibri"/>
          <w:sz w:val="21"/>
          <w:szCs w:val="21"/>
        </w:rPr>
        <w:t xml:space="preserve">Appendix B item 06 (owner reassignments, five people departed) – open.</w:t>
      </w:r>
    </w:p>
    <w:p>
      <w:pPr>
        <w:pStyle w:val="ListParagraph"/>
        <w:numPr>
          <w:ilvl w:val="0"/>
          <w:numId w:val="2"/>
        </w:numPr>
        <w:spacing w:after="60" w:line="264"/>
      </w:pPr>
      <w:r>
        <w:rPr>
          <w:rFonts w:ascii="Calibri" w:cs="Calibri" w:eastAsia="Calibri" w:hAnsi="Calibri"/>
          <w:sz w:val="21"/>
          <w:szCs w:val="21"/>
        </w:rPr>
        <w:t xml:space="preserve">Appendix B item 10 (capacity parameters: tracks, freeze calendar, landing zone readiness) – open.</w:t>
      </w:r>
    </w:p>
    <w:p>
      <w:pPr>
        <w:pStyle w:val="ListParagraph"/>
        <w:numPr>
          <w:ilvl w:val="0"/>
          <w:numId w:val="2"/>
        </w:numPr>
        <w:spacing w:after="60" w:line="264"/>
      </w:pPr>
      <w:r>
        <w:rPr>
          <w:rFonts w:ascii="Calibri" w:cs="Calibri" w:eastAsia="Calibri" w:hAnsi="Calibri"/>
          <w:sz w:val="21"/>
          <w:szCs w:val="21"/>
        </w:rPr>
        <w:t xml:space="preserve">Appendix B item 12 (backup policy export and Cohesity protection groups) – open.</w:t>
      </w:r>
    </w:p>
    <w:p>
      <w:pPr>
        <w:pStyle w:val="ListParagraph"/>
        <w:numPr>
          <w:ilvl w:val="0"/>
          <w:numId w:val="2"/>
        </w:numPr>
        <w:spacing w:after="60" w:line="264"/>
      </w:pPr>
      <w:r>
        <w:rPr>
          <w:rFonts w:ascii="Calibri" w:cs="Calibri" w:eastAsia="Calibri" w:hAnsi="Calibri"/>
          <w:sz w:val="21"/>
          <w:szCs w:val="21"/>
        </w:rPr>
        <w:t xml:space="preserve">Appendix B item 14 (Domain Name System zone and firewall rule exports) – open.</w:t>
      </w:r>
    </w:p>
    <w:p>
      <w:pPr>
        <w:pStyle w:val="ListParagraph"/>
        <w:numPr>
          <w:ilvl w:val="0"/>
          <w:numId w:val="2"/>
        </w:numPr>
        <w:spacing w:after="60" w:line="264"/>
      </w:pPr>
      <w:r>
        <w:rPr>
          <w:rFonts w:ascii="Calibri" w:cs="Calibri" w:eastAsia="Calibri" w:hAnsi="Calibri"/>
          <w:sz w:val="21"/>
          <w:szCs w:val="21"/>
        </w:rPr>
        <w:t xml:space="preserve">Old engine date flag – closed.</w:t>
      </w:r>
    </w:p>
    <w:p>
      <w:pPr>
        <w:pStyle w:val="ListParagraph"/>
        <w:numPr>
          <w:ilvl w:val="0"/>
          <w:numId w:val="2"/>
        </w:numPr>
        <w:spacing w:after="60" w:line="264"/>
      </w:pPr>
      <w:r>
        <w:rPr>
          <w:rFonts w:ascii="Calibri" w:cs="Calibri" w:eastAsia="Calibri" w:hAnsi="Calibri"/>
          <w:sz w:val="21"/>
          <w:szCs w:val="21"/>
        </w:rPr>
        <w:t xml:space="preserve">Every open item shows its owner as "GEHA (request not yet sent)".</w:t>
      </w:r>
    </w:p>
    <w:p>
      <w:pPr>
        <w:pStyle w:val="Heading1"/>
      </w:pPr>
      <w:r>
        <w:t xml:space="preserve">Section 11 –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Milestone</w:t>
            </w:r>
          </w:p>
        </w:tc>
        <w:tc>
          <w:tcPr>
            <w:tcW w:type="dxa" w:w="376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Date (BASELINE v2.1)</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Current state validated (G1)</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28 August 2026</w:t>
            </w:r>
          </w:p>
        </w:tc>
      </w:tr>
      <w:tr>
        <w:trPr>
          <w:cantSplit/>
        </w:trPr>
        <w:tc>
          <w:tcPr>
            <w:tcW w:type="dxa" w:w="5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Landing zone and subscription confirmed</w:t>
            </w:r>
          </w:p>
        </w:tc>
        <w:tc>
          <w:tcPr>
            <w:tcW w:type="dxa" w:w="37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date</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Design start</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11 February 2027</w:t>
            </w:r>
          </w:p>
        </w:tc>
      </w:tr>
      <w:tr>
        <w:trPr>
          <w:cantSplit/>
        </w:trPr>
        <w:tc>
          <w:tcPr>
            <w:tcW w:type="dxa" w:w="5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Target design signed off and build start</w:t>
            </w:r>
          </w:p>
        </w:tc>
        <w:tc>
          <w:tcPr>
            <w:tcW w:type="dxa" w:w="37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25 February 2027</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Test start</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Before the playbook freeze of 12 March 2027</w:t>
            </w:r>
          </w:p>
        </w:tc>
      </w:tr>
      <w:tr>
        <w:trPr>
          <w:cantSplit/>
        </w:trPr>
        <w:tc>
          <w:tcPr>
            <w:tcW w:type="dxa" w:w="5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Rehearsal pass 2 and user acceptance sign-off</w:t>
            </w:r>
          </w:p>
        </w:tc>
        <w:tc>
          <w:tcPr>
            <w:tcW w:type="dxa" w:w="37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date</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Readiness review and playbook approval</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15 March 2027</w:t>
            </w:r>
          </w:p>
        </w:tc>
      </w:tr>
      <w:tr>
        <w:trPr>
          <w:cantSplit/>
        </w:trPr>
        <w:tc>
          <w:tcPr>
            <w:tcW w:type="dxa" w:w="5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Go or no-go gate (Change Advisory Board)</w:t>
            </w:r>
          </w:p>
        </w:tc>
        <w:tc>
          <w:tcPr>
            <w:tcW w:type="dxa" w:w="37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17 March 2027</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Production cutover</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18 March 2027</w:t>
            </w:r>
          </w:p>
        </w:tc>
      </w:tr>
      <w:tr>
        <w:trPr>
          <w:cantSplit/>
        </w:trPr>
        <w:tc>
          <w:tcPr>
            <w:tcW w:type="dxa" w:w="5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Hypercare ends</w:t>
            </w:r>
          </w:p>
        </w:tc>
        <w:tc>
          <w:tcPr>
            <w:tcW w:type="dxa" w:w="37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6 April 2027</w:t>
            </w:r>
          </w:p>
        </w:tc>
      </w:tr>
      <w:tr>
        <w:trPr>
          <w:cantSplit/>
        </w:trPr>
        <w:tc>
          <w:tcPr>
            <w:tcW w:type="dxa" w:w="5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Source retention released and source decommissioned</w:t>
            </w:r>
          </w:p>
        </w:tc>
        <w:tc>
          <w:tcPr>
            <w:tcW w:type="dxa" w:w="37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 date</w:t>
            </w:r>
          </w:p>
        </w:tc>
      </w:tr>
    </w:tbl>
    <w:p>
      <w:pPr>
        <w:spacing w:after="120"/>
      </w:pPr>
    </w:p>
    <w:p>
      <w:pPr>
        <w:pStyle w:val="ListParagraph"/>
        <w:numPr>
          <w:ilvl w:val="0"/>
          <w:numId w:val="2"/>
        </w:numPr>
        <w:spacing w:after="60" w:line="264"/>
      </w:pPr>
      <w:r>
        <w:rPr>
          <w:rFonts w:ascii="Calibri" w:cs="Calibri" w:eastAsia="Calibri" w:hAnsi="Calibri"/>
          <w:sz w:val="21"/>
          <w:szCs w:val="21"/>
        </w:rPr>
        <w:t xml:space="preserve">All milestones are marked Not Started.</w:t>
      </w:r>
    </w:p>
    <w:p>
      <w:pPr>
        <w:pStyle w:val="ListParagraph"/>
        <w:numPr>
          <w:ilvl w:val="0"/>
          <w:numId w:val="2"/>
        </w:numPr>
        <w:spacing w:after="60" w:line="264"/>
      </w:pPr>
      <w:r>
        <w:rPr>
          <w:rFonts w:ascii="Calibri" w:cs="Calibri" w:eastAsia="Calibri" w:hAnsi="Calibri"/>
          <w:sz w:val="21"/>
          <w:szCs w:val="21"/>
        </w:rPr>
        <w:t xml:space="preserve">Section 11.1 (Effort and Duration Record) has planned and actual rows for authoring, discovery, build, testing, cutover and hypercare effort, all blank. Matilda complexity is Low; whether it has been reported to the programme is not ticked.</w:t>
      </w: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Only 21 calendar days separate build start (25 February 2027) from production cutover (18 March 2027). In that time the Execution Workflow expects the Azure foundation build, seeding of about 2.8 TB of replication, a development pilot, test migrations and acceptance, and a rehearsal of every production host. This is tight and depends on the landing zone being ready well before build start.</w:t>
      </w:r>
    </w:p>
    <w:p>
      <w:pPr>
        <w:pStyle w:val="Heading1"/>
      </w:pPr>
      <w:r>
        <w:t xml:space="preserve">Section 12 – Sign-Off</w:t>
      </w:r>
    </w:p>
    <w:p>
      <w:pPr>
        <w:pStyle w:val="ListParagraph"/>
        <w:numPr>
          <w:ilvl w:val="0"/>
          <w:numId w:val="2"/>
        </w:numPr>
        <w:spacing w:after="60" w:line="264"/>
      </w:pPr>
      <w:r>
        <w:rPr>
          <w:rFonts w:ascii="Calibri" w:cs="Calibri" w:eastAsia="Calibri" w:hAnsi="Calibri"/>
          <w:sz w:val="21"/>
          <w:szCs w:val="21"/>
        </w:rPr>
        <w:t xml:space="preserve">Signing confirms that the target design, cutover plan and rollback position are approved for execution as written, and must happen before the go or no-go gate.</w:t>
      </w:r>
    </w:p>
    <w:p>
      <w:pPr>
        <w:pStyle w:val="ListParagraph"/>
        <w:numPr>
          <w:ilvl w:val="0"/>
          <w:numId w:val="2"/>
        </w:numPr>
        <w:spacing w:after="60" w:line="264"/>
      </w:pPr>
      <w:r>
        <w:rPr>
          <w:rFonts w:ascii="Calibri" w:cs="Calibri" w:eastAsia="Calibri" w:hAnsi="Calibri"/>
          <w:sz w:val="21"/>
          <w:szCs w:val="21"/>
        </w:rPr>
        <w:t xml:space="preserve">Listed signatories: Application Owner (to be provided), Migration and Technical Lead (to be provided), George Galindo as Platform and Cloud Lead, Security (to be provided), Christy Ammel as Database Administrator and Production Control, and Network (to be provided). No one has signed.</w:t>
      </w:r>
    </w:p>
    <w:p>
      <w:pPr>
        <w:pStyle w:val="Heading1"/>
      </w:pPr>
      <w:r>
        <w:t xml:space="preserve">Appendix A – Programme Decision References</w:t>
      </w:r>
    </w:p>
    <w:p>
      <w:pPr>
        <w:pStyle w:val="ListParagraph"/>
        <w:numPr>
          <w:ilvl w:val="0"/>
          <w:numId w:val="2"/>
        </w:numPr>
        <w:spacing w:after="60" w:line="264"/>
      </w:pPr>
      <w:r>
        <w:rPr>
          <w:rFonts w:ascii="Calibri" w:cs="Calibri" w:eastAsia="Calibri" w:hAnsi="Calibri"/>
          <w:sz w:val="21"/>
          <w:szCs w:val="21"/>
        </w:rPr>
        <w:t xml:space="preserve">The playbook does not restate programme decisions; it points to the CitiusTech Decision and Evidence Register.</w:t>
      </w:r>
    </w:p>
    <w:p>
      <w:pPr>
        <w:pStyle w:val="ListParagraph"/>
        <w:numPr>
          <w:ilvl w:val="0"/>
          <w:numId w:val="2"/>
        </w:numPr>
        <w:spacing w:after="60" w:line="264"/>
      </w:pPr>
      <w:r>
        <w:rPr>
          <w:rFonts w:ascii="Calibri" w:cs="Calibri" w:eastAsia="Calibri" w:hAnsi="Calibri"/>
          <w:sz w:val="21"/>
          <w:szCs w:val="21"/>
        </w:rPr>
        <w:t xml:space="preserve">REG-001 – Palo Alto firewall (8 August 2026, attested).</w:t>
      </w:r>
    </w:p>
    <w:p>
      <w:pPr>
        <w:pStyle w:val="ListParagraph"/>
        <w:numPr>
          <w:ilvl w:val="0"/>
          <w:numId w:val="2"/>
        </w:numPr>
        <w:spacing w:after="60" w:line="264"/>
      </w:pPr>
      <w:r>
        <w:rPr>
          <w:rFonts w:ascii="Calibri" w:cs="Calibri" w:eastAsia="Calibri" w:hAnsi="Calibri"/>
          <w:sz w:val="21"/>
          <w:szCs w:val="21"/>
        </w:rPr>
        <w:t xml:space="preserve">REG-017 – LiteSpeed scope confirmed and Azure Backup withdrawn (11 August 2026, confirmed verbally by GEHA).</w:t>
      </w:r>
    </w:p>
    <w:p>
      <w:pPr>
        <w:pStyle w:val="ListParagraph"/>
        <w:numPr>
          <w:ilvl w:val="0"/>
          <w:numId w:val="2"/>
        </w:numPr>
        <w:spacing w:after="60" w:line="264"/>
      </w:pPr>
      <w:r>
        <w:rPr>
          <w:rFonts w:ascii="Calibri" w:cs="Calibri" w:eastAsia="Calibri" w:hAnsi="Calibri"/>
          <w:sz w:val="21"/>
          <w:szCs w:val="21"/>
        </w:rPr>
        <w:t xml:space="preserve">REG-030 – Comprehensive review; display defects found and fixed (11 August 2026).</w:t>
      </w:r>
    </w:p>
    <w:p>
      <w:pPr>
        <w:pStyle w:val="Heading1"/>
      </w:pPr>
      <w:r>
        <w:t xml:space="preserve">Appendix B – Information Requested from GEHA</w:t>
      </w:r>
    </w:p>
    <w:p>
      <w:pPr>
        <w:spacing w:after="120" w:line="276"/>
      </w:pPr>
      <w:r>
        <w:rPr>
          <w:rFonts w:ascii="Calibri" w:cs="Calibri" w:eastAsia="Calibri" w:hAnsi="Calibri"/>
          <w:sz w:val="21"/>
          <w:szCs w:val="21"/>
        </w:rPr>
        <w:t xml:space="preserve">Every "not yet provided" field maps to a request here. A source-exhaustion pass on 26 August 2026 searched every file in the evidence pack before a field was declared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2400"/>
        <w:gridCol w:w="1200"/>
      </w:tblGrid>
      <w:tr>
        <w:trPr>
          <w:tblHeader/>
        </w:trPr>
        <w:tc>
          <w:tcPr>
            <w:tcW w:type="dxa" w:w="7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506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is requested</w:t>
            </w:r>
          </w:p>
        </w:tc>
        <w:tc>
          <w:tcPr>
            <w:tcW w:type="dxa" w:w="24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Needed by</w:t>
            </w:r>
          </w:p>
        </w:tc>
        <w:tc>
          <w:tcPr>
            <w:tcW w:type="dxa" w:w="12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Blocking?</w:t>
            </w:r>
          </w:p>
        </w:tc>
      </w:tr>
      <w:tr>
        <w:trPr>
          <w:cantSplit/>
        </w:trPr>
        <w:tc>
          <w:tcPr>
            <w:tcW w:type="dxa" w:w="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01</w:t>
            </w:r>
          </w:p>
        </w:tc>
        <w:tc>
          <w:tcPr>
            <w:tcW w:type="dxa" w:w="50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Azure Migrate project access and first discovery export</w:t>
            </w:r>
          </w:p>
        </w:tc>
        <w:tc>
          <w:tcPr>
            <w:tcW w:type="dxa" w:w="24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5 September 2026 (re-dated)</w:t>
            </w:r>
          </w:p>
        </w:tc>
        <w:tc>
          <w:tcPr>
            <w:tcW w:type="dxa" w:w="12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Yes</w:t>
            </w:r>
          </w:p>
        </w:tc>
      </w:tr>
      <w:tr>
        <w:trPr>
          <w:cantSplit/>
        </w:trPr>
        <w:tc>
          <w:tcPr>
            <w:tcW w:type="dxa" w:w="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02</w:t>
            </w:r>
          </w:p>
        </w:tc>
        <w:tc>
          <w:tcPr>
            <w:tcW w:type="dxa" w:w="50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Formal G1 gate completion date</w:t>
            </w:r>
          </w:p>
        </w:tc>
        <w:tc>
          <w:tcPr>
            <w:tcW w:type="dxa" w:w="24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5 September 2026 (re-dated)</w:t>
            </w:r>
          </w:p>
        </w:tc>
        <w:tc>
          <w:tcPr>
            <w:tcW w:type="dxa" w:w="12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Yes</w:t>
            </w:r>
          </w:p>
        </w:tc>
      </w:tr>
      <w:tr>
        <w:trPr>
          <w:cantSplit/>
        </w:trPr>
        <w:tc>
          <w:tcPr>
            <w:tcW w:type="dxa" w:w="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05</w:t>
            </w:r>
          </w:p>
        </w:tc>
        <w:tc>
          <w:tcPr>
            <w:tcW w:type="dxa" w:w="50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Vendor portal logins for Progress, Cohesity and Archer</w:t>
            </w:r>
          </w:p>
        </w:tc>
        <w:tc>
          <w:tcPr>
            <w:tcW w:type="dxa" w:w="24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15 September 2026</w:t>
            </w:r>
          </w:p>
        </w:tc>
        <w:tc>
          <w:tcPr>
            <w:tcW w:type="dxa" w:w="12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w:t>
            </w:r>
          </w:p>
        </w:tc>
      </w:tr>
      <w:tr>
        <w:trPr>
          <w:cantSplit/>
        </w:trPr>
        <w:tc>
          <w:tcPr>
            <w:tcW w:type="dxa" w:w="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06</w:t>
            </w:r>
          </w:p>
        </w:tc>
        <w:tc>
          <w:tcPr>
            <w:tcW w:type="dxa" w:w="50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Owner reassignments (five departed) and OnBase director ruling</w:t>
            </w:r>
          </w:p>
        </w:tc>
        <w:tc>
          <w:tcPr>
            <w:tcW w:type="dxa" w:w="24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 September 2026</w:t>
            </w:r>
          </w:p>
        </w:tc>
        <w:tc>
          <w:tcPr>
            <w:tcW w:type="dxa" w:w="12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Yes</w:t>
            </w:r>
          </w:p>
        </w:tc>
      </w:tr>
      <w:tr>
        <w:trPr>
          <w:cantSplit/>
        </w:trPr>
        <w:tc>
          <w:tcPr>
            <w:tcW w:type="dxa" w:w="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10</w:t>
            </w:r>
          </w:p>
        </w:tc>
        <w:tc>
          <w:tcPr>
            <w:tcW w:type="dxa" w:w="50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Capacity parameters: tracks, freeze calendar, landing zone readiness</w:t>
            </w:r>
          </w:p>
        </w:tc>
        <w:tc>
          <w:tcPr>
            <w:tcW w:type="dxa" w:w="24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5 September 2026 (re-dated)</w:t>
            </w:r>
          </w:p>
        </w:tc>
        <w:tc>
          <w:tcPr>
            <w:tcW w:type="dxa" w:w="12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Yes</w:t>
            </w:r>
          </w:p>
        </w:tc>
      </w:tr>
      <w:tr>
        <w:trPr>
          <w:cantSplit/>
        </w:trPr>
        <w:tc>
          <w:tcPr>
            <w:tcW w:type="dxa" w:w="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12</w:t>
            </w:r>
          </w:p>
        </w:tc>
        <w:tc>
          <w:tcPr>
            <w:tcW w:type="dxa" w:w="50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Backup policy export and Cohesity protection groups</w:t>
            </w:r>
          </w:p>
        </w:tc>
        <w:tc>
          <w:tcPr>
            <w:tcW w:type="dxa" w:w="24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30 September 2026</w:t>
            </w:r>
          </w:p>
        </w:tc>
        <w:tc>
          <w:tcPr>
            <w:tcW w:type="dxa" w:w="12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w:t>
            </w:r>
          </w:p>
        </w:tc>
      </w:tr>
      <w:tr>
        <w:trPr>
          <w:cantSplit/>
        </w:trPr>
        <w:tc>
          <w:tcPr>
            <w:tcW w:type="dxa" w:w="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14</w:t>
            </w:r>
          </w:p>
        </w:tc>
        <w:tc>
          <w:tcPr>
            <w:tcW w:type="dxa" w:w="50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Current Domain Name System zone and firewall rule exports</w:t>
            </w:r>
          </w:p>
        </w:tc>
        <w:tc>
          <w:tcPr>
            <w:tcW w:type="dxa" w:w="24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30 September 2026</w:t>
            </w:r>
          </w:p>
        </w:tc>
        <w:tc>
          <w:tcPr>
            <w:tcW w:type="dxa" w:w="12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w:t>
            </w:r>
          </w:p>
        </w:tc>
      </w:tr>
      <w:tr>
        <w:trPr>
          <w:cantSplit/>
        </w:trPr>
        <w:tc>
          <w:tcPr>
            <w:tcW w:type="dxa" w:w="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16</w:t>
            </w:r>
          </w:p>
        </w:tc>
        <w:tc>
          <w:tcPr>
            <w:tcW w:type="dxa" w:w="50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Table-level database write audit</w:t>
            </w:r>
          </w:p>
        </w:tc>
        <w:tc>
          <w:tcPr>
            <w:tcW w:type="dxa" w:w="24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15 September 2026</w:t>
            </w:r>
          </w:p>
        </w:tc>
        <w:tc>
          <w:tcPr>
            <w:tcW w:type="dxa" w:w="12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w:t>
            </w:r>
          </w:p>
        </w:tc>
      </w:tr>
      <w:tr>
        <w:trPr>
          <w:cantSplit/>
        </w:trPr>
        <w:tc>
          <w:tcPr>
            <w:tcW w:type="dxa" w:w="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17</w:t>
            </w:r>
          </w:p>
        </w:tc>
        <w:tc>
          <w:tcPr>
            <w:tcW w:type="dxa" w:w="50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Cohesity support confirmation for every migrating SQL Server instance</w:t>
            </w:r>
          </w:p>
        </w:tc>
        <w:tc>
          <w:tcPr>
            <w:tcW w:type="dxa" w:w="24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15 September 2026</w:t>
            </w:r>
          </w:p>
        </w:tc>
        <w:tc>
          <w:tcPr>
            <w:tcW w:type="dxa" w:w="12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Yes</w:t>
            </w:r>
          </w:p>
        </w:tc>
      </w:tr>
    </w:tbl>
    <w:p>
      <w:pPr>
        <w:spacing w:after="120"/>
      </w:pPr>
    </w:p>
    <w:p>
      <w:pPr>
        <w:pBdr>
          <w:left w:val="single" w:color="1D4A73" w:sz="18" w:space="6"/>
        </w:pBdr>
        <w:shd w:fill="EEF3F8" w:color="auto" w:val="clear"/>
        <w:spacing w:after="160" w:before="60" w:line="264"/>
        <w:ind w:left="120" w:right="120"/>
      </w:pPr>
      <w:r>
        <w:rPr>
          <w:rFonts w:ascii="Calibri" w:cs="Calibri" w:eastAsia="Calibri" w:hAnsi="Calibri"/>
          <w:sz w:val="21"/>
          <w:szCs w:val="21"/>
        </w:rPr>
        <w:t xml:space="preserve">Several item numbers cited in the body do not match what Appendix B describes. For example, business criticality and recovery objectives (Section 3.3) cite item 12, which is the Cohesity backup export; load balancer, certificates and firewall rules cite item 06, which is owner reassignments; user access method and integration owners cite item 05, which is vendor portal logins. Also, many of these items are programme-wide (OnBase, Archer, SQL Server) rather than specific to Utility. Several due dates have already passed.</w:t>
      </w:r>
    </w:p>
    <w:p>
      <w:pPr>
        <w:pStyle w:val="Heading1"/>
      </w:pPr>
      <w:r>
        <w:t xml:space="preserve">Part 3 – Inconsistencies found while reading</w:t>
      </w:r>
    </w:p>
    <w:p>
      <w:pPr>
        <w:spacing w:after="120" w:line="276"/>
      </w:pPr>
      <w:r>
        <w:rPr>
          <w:rFonts w:ascii="Calibri" w:cs="Calibri" w:eastAsia="Calibri" w:hAnsi="Calibri"/>
          <w:sz w:val="21"/>
          <w:szCs w:val="21"/>
        </w:rPr>
        <w:t xml:space="preserve">These points should be raised with the playbook author and GEHA. They are listed, not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3600"/>
      </w:tblGrid>
      <w:tr>
        <w:trPr>
          <w:tblHeader/>
        </w:trPr>
        <w:tc>
          <w:tcPr>
            <w:tcW w:type="dxa" w:w="19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Where</w:t>
            </w:r>
          </w:p>
        </w:tc>
        <w:tc>
          <w:tcPr>
            <w:tcW w:type="dxa" w:w="386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playbook says</w:t>
            </w:r>
          </w:p>
        </w:tc>
        <w:tc>
          <w:tcPr>
            <w:tcW w:type="dxa" w:w="36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Why it matters</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Table 1.0 and Section 1.1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Index identifier ends "v0.1"; the document is version 0.4.</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Version control confusion when the playbook is baselined.</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Table 1.0</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Wave 3 under the plan of record, Wave 4 by the engine, and not in Statement of Work Exhibit C.</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 change order is needed before work is contractually covered.</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Sections 1.0, 5.1, 10.1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Rehost ruled, but the container conversion decision W3-UTIL-D1 is still open.</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The Execution Workflow already treats it as a full virtual machine move; the decision should be closed to match.</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 3.3</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Marked "Not applicable" but the table asks for criticality and recovery objectives.</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Recovery objectives drive the availability and backup design.</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4 narrative vs 4.1.2, 4.6.2, Table 1.0</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Narrative: no load balancer and no static IP dependency. Tables: both still "not yet provided".</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Open requests for facts already confirmed waste GEHA time; unconfirmed IP dependency affects firewall allowlists.</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 4.0 walkthrough</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Server names misspelt; Lenexa test server named OIMTST101 instead of OIMTST102.</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Wrong names in a cutover document cause errors.</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4.1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NETBACKUPPRD101 "Holds data? No"; "CMDB / Asset ID" column holds site names.</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The Linux server holds 1,330 GB and persistent container data.</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 4.2</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Scheduled jobs row lists services (Internet Information Services, Docker), not jobs.</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Running scheduled jobs is a core purpose of Utility; the real job list is missing.</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4.3</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 Remote Desktop listener observed.</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These are jump servers and one talks to the Remote Desktop licence server.</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Sections 4.4 and 5.4</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Full database requests open, but no database identified.</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Should be a confirmed absence.</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4.11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LSUTILPRD101 backup tag "ansiblehost".</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May show a coupling between LSUTILPRD101 and NETBACKUPPRD101 that affects cutover order.</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 5.3</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Production right-sizing storage 2,455.1 GB vs 2,300 GB allocated in Section 4.1.1.</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Different sources; the disk mapping must use one agreed figure.</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6.1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One move group, one date, all eight servers.</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Conflicts with its own "non-production first" rule and with the Execution Workflow sequence.</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Section 8.2</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Heading is blank.</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Cosmetic, but the template requires numbered headings.</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12</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Database Administrator named as signatory.</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 database is identified for Utility.</w:t>
            </w:r>
          </w:p>
        </w:tc>
      </w:tr>
      <w:tr>
        <w:trPr>
          <w:cantSplit/>
        </w:trPr>
        <w:tc>
          <w:tcPr>
            <w:tcW w:type="dxa" w:w="19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Appendix B</w:t>
            </w:r>
          </w:p>
        </w:tc>
        <w:tc>
          <w:tcPr>
            <w:tcW w:type="dxa" w:w="3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Item numbers cited in the body do not match item descriptions; several due dates passed.</w:t>
            </w:r>
          </w:p>
        </w:tc>
        <w:tc>
          <w:tcPr>
            <w:tcW w:type="dxa" w:w="3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Requests may not reach the right GEHA owner.</w:t>
            </w:r>
          </w:p>
        </w:tc>
      </w:tr>
      <w:tr>
        <w:trPr>
          <w:cantSplit/>
        </w:trPr>
        <w:tc>
          <w:tcPr>
            <w:tcW w:type="dxa" w:w="19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Section 11</w:t>
            </w:r>
          </w:p>
        </w:tc>
        <w:tc>
          <w:tcPr>
            <w:tcW w:type="dxa" w:w="3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Build start 25 February 2027 to cutover 18 March 2027.</w:t>
            </w:r>
          </w:p>
        </w:tc>
        <w:tc>
          <w:tcPr>
            <w:tcW w:type="dxa" w:w="3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Very little time for the Execution Workflow sequence.</w:t>
            </w:r>
          </w:p>
        </w:tc>
      </w:tr>
    </w:tbl>
    <w:p>
      <w:pPr>
        <w:spacing w:after="120"/>
      </w:pPr>
    </w:p>
    <w:p>
      <w:pPr>
        <w:pStyle w:val="Heading1"/>
      </w:pPr>
      <w:r>
        <w:t xml:space="preserve">Part 4 – A glimpse of the final state</w:t>
      </w:r>
    </w:p>
    <w:p>
      <w:pPr>
        <w:pStyle w:val="Heading2"/>
      </w:pPr>
      <w:r>
        <w:t xml:space="preserve">What "done" looks like</w:t>
      </w:r>
    </w:p>
    <w:p>
      <w:pPr>
        <w:pStyle w:val="ListParagraph"/>
        <w:numPr>
          <w:ilvl w:val="0"/>
          <w:numId w:val="2"/>
        </w:numPr>
        <w:spacing w:after="60" w:line="264"/>
      </w:pPr>
      <w:r>
        <w:rPr>
          <w:rFonts w:ascii="Calibri" w:cs="Calibri" w:eastAsia="Calibri" w:hAnsi="Calibri"/>
          <w:sz w:val="21"/>
          <w:szCs w:val="21"/>
        </w:rPr>
        <w:t xml:space="preserve">The eight Utility servers run as Azure virtual machines in a GEHA landing zone subscription, inside a Utility spoke virtual network that connects to the secured virtual hub, where Azure Firewall Premium inspects traffic.</w:t>
      </w:r>
    </w:p>
    <w:p>
      <w:pPr>
        <w:pStyle w:val="ListParagraph"/>
        <w:numPr>
          <w:ilvl w:val="0"/>
          <w:numId w:val="2"/>
        </w:numPr>
        <w:spacing w:after="60" w:line="264"/>
      </w:pPr>
      <w:r>
        <w:rPr>
          <w:rFonts w:ascii="Calibri" w:cs="Calibri" w:eastAsia="Calibri" w:hAnsi="Calibri"/>
          <w:sz w:val="21"/>
          <w:szCs w:val="21"/>
        </w:rPr>
        <w:t xml:space="preserve">Each server keeps its current operating system, applications and configuration, because this is a Rehost. The Azure virtual machines and disks are created by Azure Migrate from replication, not built empty and rebuilt.</w:t>
      </w:r>
    </w:p>
    <w:p>
      <w:pPr>
        <w:pStyle w:val="ListParagraph"/>
        <w:numPr>
          <w:ilvl w:val="0"/>
          <w:numId w:val="2"/>
        </w:numPr>
        <w:spacing w:after="60" w:line="264"/>
      </w:pPr>
      <w:r>
        <w:rPr>
          <w:rFonts w:ascii="Calibri" w:cs="Calibri" w:eastAsia="Calibri" w:hAnsi="Calibri"/>
          <w:sz w:val="21"/>
          <w:szCs w:val="21"/>
        </w:rPr>
        <w:t xml:space="preserve">NETBACKUPPRD101 runs as a complete Red Hat Enterprise Linux virtual machine with its existing containers and persistent volumes working. Moving those containers to Azure Container Instances is a later, separate change.</w:t>
      </w:r>
    </w:p>
    <w:p>
      <w:pPr>
        <w:pStyle w:val="ListParagraph"/>
        <w:numPr>
          <w:ilvl w:val="0"/>
          <w:numId w:val="2"/>
        </w:numPr>
        <w:spacing w:after="60" w:line="264"/>
      </w:pPr>
      <w:r>
        <w:rPr>
          <w:rFonts w:ascii="Calibri" w:cs="Calibri" w:eastAsia="Calibri" w:hAnsi="Calibri"/>
          <w:sz w:val="21"/>
          <w:szCs w:val="21"/>
        </w:rPr>
        <w:t xml:space="preserve">The servers remain joined to the GEHA Active Directory domain, resolve names correctly and reach the on-premises services they depend on (System Center Configuration Manager, Orion, ServiceNow, Citrix, Remote Desktop licensing, Ansible and Development) over ExpressRoute.</w:t>
      </w:r>
    </w:p>
    <w:p>
      <w:pPr>
        <w:pStyle w:val="ListParagraph"/>
        <w:numPr>
          <w:ilvl w:val="0"/>
          <w:numId w:val="2"/>
        </w:numPr>
        <w:spacing w:after="60" w:line="264"/>
      </w:pPr>
      <w:r>
        <w:rPr>
          <w:rFonts w:ascii="Calibri" w:cs="Calibri" w:eastAsia="Calibri" w:hAnsi="Calibri"/>
          <w:sz w:val="21"/>
          <w:szCs w:val="21"/>
        </w:rPr>
        <w:t xml:space="preserve">Support teams sign in to the jump servers through an agreed private administration path and can use their tools and run their scheduled jobs, with each job running from exactly one place.</w:t>
      </w:r>
    </w:p>
    <w:p>
      <w:pPr>
        <w:pStyle w:val="ListParagraph"/>
        <w:numPr>
          <w:ilvl w:val="0"/>
          <w:numId w:val="2"/>
        </w:numPr>
        <w:spacing w:after="60" w:line="264"/>
      </w:pPr>
      <w:r>
        <w:rPr>
          <w:rFonts w:ascii="Calibri" w:cs="Calibri" w:eastAsia="Calibri" w:hAnsi="Calibri"/>
          <w:sz w:val="21"/>
          <w:szCs w:val="21"/>
        </w:rPr>
        <w:t xml:space="preserve">Monitoring, security agents and backup are onboarded and proven: an alert has reached its owner, logs are arriving, and a backup and restore have succeeded.</w:t>
      </w:r>
    </w:p>
    <w:p>
      <w:pPr>
        <w:pStyle w:val="ListParagraph"/>
        <w:numPr>
          <w:ilvl w:val="0"/>
          <w:numId w:val="2"/>
        </w:numPr>
        <w:spacing w:after="60" w:line="264"/>
      </w:pPr>
      <w:r>
        <w:rPr>
          <w:rFonts w:ascii="Calibri" w:cs="Calibri" w:eastAsia="Calibri" w:hAnsi="Calibri"/>
          <w:sz w:val="21"/>
          <w:szCs w:val="21"/>
        </w:rPr>
        <w:t xml:space="preserve">Domain Name System records, firewall allowlists, System Center Configuration Manager boundaries and tool references point at the Azure servers.</w:t>
      </w:r>
    </w:p>
    <w:p>
      <w:pPr>
        <w:pStyle w:val="ListParagraph"/>
        <w:numPr>
          <w:ilvl w:val="0"/>
          <w:numId w:val="2"/>
        </w:numPr>
        <w:spacing w:after="60" w:line="264"/>
      </w:pPr>
      <w:r>
        <w:rPr>
          <w:rFonts w:ascii="Calibri" w:cs="Calibri" w:eastAsia="Calibri" w:hAnsi="Calibri"/>
          <w:sz w:val="21"/>
          <w:szCs w:val="21"/>
        </w:rPr>
        <w:t xml:space="preserve">The VMware source servers were powered off at cutover, kept recoverable for the agreed rollback period, and then retired with owner approval. LXENTUTL01 has its own recorded decision.</w:t>
      </w:r>
    </w:p>
    <w:p>
      <w:pPr>
        <w:pStyle w:val="ListParagraph"/>
        <w:numPr>
          <w:ilvl w:val="0"/>
          <w:numId w:val="2"/>
        </w:numPr>
        <w:spacing w:after="60" w:line="264"/>
      </w:pPr>
      <w:r>
        <w:rPr>
          <w:rFonts w:ascii="Calibri" w:cs="Calibri" w:eastAsia="Calibri" w:hAnsi="Calibri"/>
          <w:sz w:val="21"/>
          <w:szCs w:val="21"/>
        </w:rPr>
        <w:t xml:space="preserve">The configuration management database, support records and handover pack describe the Azure estate, and the migration is marked complete in Azure Migrate with migration-only resources removed.</w:t>
      </w:r>
    </w:p>
    <w:p>
      <w:pPr>
        <w:pStyle w:val="Heading2"/>
      </w:pPr>
      <w:r>
        <w:t xml:space="preserve">Illustrative end-state picture</w:t>
      </w:r>
    </w:p>
    <w:p>
      <w:pPr>
        <w:spacing w:after="120" w:line="276"/>
      </w:pPr>
      <w:r>
        <w:rPr>
          <w:rFonts w:ascii="Calibri" w:cs="Calibri" w:eastAsia="Calibri" w:hAnsi="Calibri"/>
          <w:sz w:val="21"/>
          <w:szCs w:val="21"/>
        </w:rPr>
        <w:t xml:space="preserve">The playbook's own target diagram (Section 5.0) is not yet supplied, so the picture on the next page is drawn from the two source documents. Items marked "to be confirmed" are open decisions, not assumptions.</w:t>
      </w:r>
    </w:p>
    <w:p>
      <w:pPr>
        <w:sectPr>
          <w:footerReference w:type="default" r:id="rId7"/>
          <w:pgSz w:w="12240" w:h="15840" w:orient="portrait"/>
          <w:pgMar w:top="1300" w:right="1440" w:bottom="1200" w:left="1440" w:header="708" w:footer="708" w:gutter="0"/>
          <w:pgNumType/>
          <w:docGrid w:linePitch="360"/>
        </w:sectPr>
      </w:pPr>
    </w:p>
    <w:p>
      <w:pPr>
        <w:jc w:val="center"/>
      </w:pPr>
      <w:r>
        <w:drawing>
          <wp:inline distT="0" distB="0" distL="0" distR="0">
            <wp:extent cx="8412480" cy="5358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12480" cy="5358384"/>
                    </a:xfrm>
                    <a:prstGeom prst="rect">
                      <a:avLst/>
                    </a:prstGeom>
                  </pic:spPr>
                </pic:pic>
              </a:graphicData>
            </a:graphic>
          </wp:inline>
        </w:drawing>
      </w:r>
    </w:p>
    <w:p>
      <w:pPr>
        <w:sectPr>
          <w:footerReference w:type="default" r:id="rId8"/>
          <w:pgSz w:w="15840" w:h="12240" w:orient="landscape"/>
          <w:pgMar w:top="900" w:right="1080" w:bottom="900" w:left="1080" w:header="708" w:footer="708" w:gutter="0"/>
          <w:pgNumType/>
          <w:docGrid w:linePitch="360"/>
        </w:sectPr>
      </w:pPr>
    </w:p>
    <w:p>
      <w:pPr>
        <w:pStyle w:val="Heading2"/>
      </w:pPr>
      <w:r>
        <w:t xml:space="preserve">The journey to the final state</w:t>
      </w:r>
    </w:p>
    <w:p>
      <w:pPr>
        <w:spacing w:after="120" w:line="276"/>
      </w:pPr>
      <w:r>
        <w:rPr>
          <w:rFonts w:ascii="Calibri" w:cs="Calibri" w:eastAsia="Calibri" w:hAnsi="Calibri"/>
          <w:sz w:val="21"/>
          <w:szCs w:val="21"/>
        </w:rPr>
        <w:t xml:space="preserve">The Execution Workflow sets the order. The dates come from the playbook where they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860"/>
        <w:gridCol w:w="1700"/>
      </w:tblGrid>
      <w:tr>
        <w:trPr>
          <w:tblHeader/>
        </w:trPr>
        <w:tc>
          <w:tcPr>
            <w:tcW w:type="dxa" w:w="15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Stage</w:t>
            </w:r>
          </w:p>
        </w:tc>
        <w:tc>
          <w:tcPr>
            <w:tcW w:type="dxa" w:w="33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happens</w:t>
            </w:r>
          </w:p>
        </w:tc>
        <w:tc>
          <w:tcPr>
            <w:tcW w:type="dxa" w:w="286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Proof that the stage is complete</w:t>
            </w:r>
          </w:p>
        </w:tc>
        <w:tc>
          <w:tcPr>
            <w:tcW w:type="dxa" w:w="17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Timing</w:t>
            </w:r>
          </w:p>
        </w:tc>
      </w:tr>
      <w:tr>
        <w:trPr>
          <w:cantSplit/>
        </w:trPr>
        <w:tc>
          <w:tcPr>
            <w:tcW w:type="dxa" w:w="15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 Prerequisites</w:t>
            </w:r>
          </w:p>
        </w:tc>
        <w:tc>
          <w:tcPr>
            <w:tcW w:type="dxa" w:w="33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Placement, network, IP plan, ExpressRoute, firewall and network security group rules, Domain Name System and Active Directory, Azure Migrate, VMware access, permissions, sizing and disks, backup and rollback, monitoring, validation owners and change management all agreed.</w:t>
            </w:r>
          </w:p>
        </w:tc>
        <w:tc>
          <w:tcPr>
            <w:tcW w:type="dxa" w:w="2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Every prerequisite row in the Execution Workflow has completion evidence and an owner.</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Before build start (25 February 2027)</w:t>
            </w:r>
          </w:p>
        </w:tc>
      </w:tr>
      <w:tr>
        <w:trPr>
          <w:cantSplit/>
        </w:trPr>
        <w:tc>
          <w:tcPr>
            <w:tcW w:type="dxa" w:w="15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 Azure foundation</w:t>
            </w:r>
          </w:p>
        </w:tc>
        <w:tc>
          <w:tcPr>
            <w:tcW w:type="dxa" w:w="33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Bicep templates validated with a what-if review, then deployed by pipeline, development and test first. Rules, routes and Domain Name System prepared; isolated test subnet ready.</w:t>
            </w:r>
          </w:p>
        </w:tc>
        <w:tc>
          <w:tcPr>
            <w:tcW w:type="dxa" w:w="2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Pipeline succeeded, resource identifiers saved, routes and rules present, domain reachable, test subnet isolated, quota covers sizes.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From 25 February 2027</w:t>
            </w:r>
          </w:p>
        </w:tc>
      </w:tr>
      <w:tr>
        <w:trPr>
          <w:cantSplit/>
        </w:trPr>
        <w:tc>
          <w:tcPr>
            <w:tcW w:type="dxa" w:w="15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 Discovery and replication</w:t>
            </w:r>
          </w:p>
        </w:tc>
        <w:tc>
          <w:tcPr>
            <w:tcW w:type="dxa" w:w="33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Appliance healthy; all eight hosts matched to vCenter; sizes, subnets and disks set; agentless replication started and kept current.</w:t>
            </w:r>
          </w:p>
        </w:tc>
        <w:tc>
          <w:tcPr>
            <w:tcW w:type="dxa" w:w="2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All eight hosts accounted for; replication healthy with no unresolved errors.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After foundation</w:t>
            </w:r>
          </w:p>
        </w:tc>
      </w:tr>
      <w:tr>
        <w:trPr>
          <w:cantSplit/>
        </w:trPr>
        <w:tc>
          <w:tcPr>
            <w:tcW w:type="dxa" w:w="15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 Development and test</w:t>
            </w:r>
          </w:p>
        </w:tc>
        <w:tc>
          <w:tcPr>
            <w:tcW w:type="dxa" w:w="33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EAUTILDEV201 as pilot, tested in the isolated subnet then migrated; then OIMTST101 and OIMTST102. Source kept off for the rollback period.</w:t>
            </w:r>
          </w:p>
        </w:tc>
        <w:tc>
          <w:tcPr>
            <w:tcW w:type="dxa" w:w="2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Utility owner accepts development and test; blocking defects closed; cutover and rollback times measured.</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Before 12 March 2027</w:t>
            </w:r>
          </w:p>
        </w:tc>
      </w:tr>
      <w:tr>
        <w:trPr>
          <w:cantSplit/>
        </w:trPr>
        <w:tc>
          <w:tcPr>
            <w:tcW w:type="dxa" w:w="15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5. Production rehearsal</w:t>
            </w:r>
          </w:p>
        </w:tc>
        <w:tc>
          <w:tcPr>
            <w:tcW w:type="dxa" w:w="33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Each production host test-migrated into the isolated subnet; Linux containers, volumes and Secure Shell access checked.</w:t>
            </w:r>
          </w:p>
        </w:tc>
        <w:tc>
          <w:tcPr>
            <w:tcW w:type="dxa" w:w="2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Validation tests V01 to V11 run with evidence.</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Before 15 March 2027</w:t>
            </w:r>
          </w:p>
        </w:tc>
      </w:tr>
      <w:tr>
        <w:trPr>
          <w:cantSplit/>
        </w:trPr>
        <w:tc>
          <w:tcPr>
            <w:tcW w:type="dxa" w:w="15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6. Production cutover</w:t>
            </w:r>
          </w:p>
        </w:tc>
        <w:tc>
          <w:tcPr>
            <w:tcW w:type="dxa" w:w="33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Actions C01 to C10 per host or move group: pause work, final synchronisation, migrate with source shutdown, verify, re-point, start services and jobs, accept or roll back.</w:t>
            </w:r>
          </w:p>
        </w:tc>
        <w:tc>
          <w:tcPr>
            <w:tcW w:type="dxa" w:w="2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Service accepted before the rollback deadline; source off and recoverable.</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Change Advisory Board 17 March 2027; cutover 18 March 2027</w:t>
            </w:r>
          </w:p>
        </w:tc>
      </w:tr>
      <w:tr>
        <w:trPr>
          <w:cantSplit/>
        </w:trPr>
        <w:tc>
          <w:tcPr>
            <w:tcW w:type="dxa" w:w="15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7. Hypercare</w:t>
            </w:r>
          </w:p>
        </w:tc>
        <w:tc>
          <w:tcPr>
            <w:tcW w:type="dxa" w:w="33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Watch availability, failed jobs, authentication, network denies, agent health, performance and backups.</w:t>
            </w:r>
          </w:p>
        </w:tc>
        <w:tc>
          <w:tcPr>
            <w:tcW w:type="dxa" w:w="28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Agreed exit criteria met; incidents owned and resolved.</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Until 6 April 2027</w:t>
            </w:r>
          </w:p>
        </w:tc>
      </w:tr>
      <w:tr>
        <w:trPr>
          <w:cantSplit/>
        </w:trPr>
        <w:tc>
          <w:tcPr>
            <w:tcW w:type="dxa" w:w="15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8. Handover and closure</w:t>
            </w:r>
          </w:p>
        </w:tc>
        <w:tc>
          <w:tcPr>
            <w:tcW w:type="dxa" w:w="33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Update configuration management database; hand over pipeline outputs, host mapping, rules and evidence; complete migration in Azure Migrate; retire sources at retention expiry.</w:t>
            </w:r>
          </w:p>
        </w:tc>
        <w:tc>
          <w:tcPr>
            <w:tcW w:type="dxa" w:w="28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All five closure items accepted by their owners.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Retention release date not yet set</w:t>
            </w:r>
          </w:p>
        </w:tc>
      </w:tr>
    </w:tbl>
    <w:p>
      <w:pPr>
        <w:spacing w:after="120"/>
      </w:pPr>
    </w:p>
    <w:p>
      <w:pPr>
        <w:pStyle w:val="Heading2"/>
      </w:pPr>
      <w:r>
        <w:t xml:space="preserve">What must be resolved first</w:t>
      </w:r>
    </w:p>
    <w:p>
      <w:pPr>
        <w:spacing w:after="120" w:line="276"/>
      </w:pPr>
      <w:r>
        <w:rPr>
          <w:rFonts w:ascii="Calibri" w:cs="Calibri" w:eastAsia="Calibri" w:hAnsi="Calibri"/>
          <w:sz w:val="21"/>
          <w:szCs w:val="21"/>
        </w:rPr>
        <w:t xml:space="preserve">The final state cannot be reached until these open points, all visible in the playbook, are answered:</w:t>
      </w:r>
    </w:p>
    <w:p>
      <w:pPr>
        <w:pStyle w:val="ListParagraph"/>
        <w:numPr>
          <w:ilvl w:val="0"/>
          <w:numId w:val="3"/>
        </w:numPr>
        <w:spacing w:after="60" w:line="264"/>
      </w:pPr>
      <w:r>
        <w:rPr>
          <w:rFonts w:ascii="Calibri" w:cs="Calibri" w:eastAsia="Calibri" w:hAnsi="Calibri"/>
          <w:sz w:val="21"/>
          <w:szCs w:val="21"/>
        </w:rPr>
        <w:t xml:space="preserve">The target subscription, region and landing zone placement (dependency marked At Risk, owned by the GEHA cloud platform team).</w:t>
      </w:r>
    </w:p>
    <w:p>
      <w:pPr>
        <w:pStyle w:val="ListParagraph"/>
        <w:numPr>
          <w:ilvl w:val="0"/>
          <w:numId w:val="3"/>
        </w:numPr>
        <w:spacing w:after="60" w:line="264"/>
      </w:pPr>
      <w:r>
        <w:rPr>
          <w:rFonts w:ascii="Calibri" w:cs="Calibri" w:eastAsia="Calibri" w:hAnsi="Calibri"/>
          <w:sz w:val="21"/>
          <w:szCs w:val="21"/>
        </w:rPr>
        <w:t xml:space="preserve">Named owners for Application Owner, Technical Owner and Rollback Authority.</w:t>
      </w:r>
    </w:p>
    <w:p>
      <w:pPr>
        <w:pStyle w:val="ListParagraph"/>
        <w:numPr>
          <w:ilvl w:val="0"/>
          <w:numId w:val="3"/>
        </w:numPr>
        <w:spacing w:after="60" w:line="264"/>
      </w:pPr>
      <w:r>
        <w:rPr>
          <w:rFonts w:ascii="Calibri" w:cs="Calibri" w:eastAsia="Calibri" w:hAnsi="Calibri"/>
          <w:sz w:val="21"/>
          <w:szCs w:val="21"/>
        </w:rPr>
        <w:t xml:space="preserve">The target network design: virtual network, subnets, IP plan, isolated test subnet, firewall and routing.</w:t>
      </w:r>
    </w:p>
    <w:p>
      <w:pPr>
        <w:pStyle w:val="ListParagraph"/>
        <w:numPr>
          <w:ilvl w:val="0"/>
          <w:numId w:val="3"/>
        </w:numPr>
        <w:spacing w:after="60" w:line="264"/>
      </w:pPr>
      <w:r>
        <w:rPr>
          <w:rFonts w:ascii="Calibri" w:cs="Calibri" w:eastAsia="Calibri" w:hAnsi="Calibri"/>
          <w:sz w:val="21"/>
          <w:szCs w:val="21"/>
        </w:rPr>
        <w:t xml:space="preserve">The directory model and the private administration path for support teams.</w:t>
      </w:r>
    </w:p>
    <w:p>
      <w:pPr>
        <w:pStyle w:val="ListParagraph"/>
        <w:numPr>
          <w:ilvl w:val="0"/>
          <w:numId w:val="3"/>
        </w:numPr>
        <w:spacing w:after="60" w:line="264"/>
      </w:pPr>
      <w:r>
        <w:rPr>
          <w:rFonts w:ascii="Calibri" w:cs="Calibri" w:eastAsia="Calibri" w:hAnsi="Calibri"/>
          <w:sz w:val="21"/>
          <w:szCs w:val="21"/>
        </w:rPr>
        <w:t xml:space="preserve">The backup product for Azure virtual machines, since Azure Backup has been withdrawn.</w:t>
      </w:r>
    </w:p>
    <w:p>
      <w:pPr>
        <w:pStyle w:val="ListParagraph"/>
        <w:numPr>
          <w:ilvl w:val="0"/>
          <w:numId w:val="3"/>
        </w:numPr>
        <w:spacing w:after="60" w:line="264"/>
      </w:pPr>
      <w:r>
        <w:rPr>
          <w:rFonts w:ascii="Calibri" w:cs="Calibri" w:eastAsia="Calibri" w:hAnsi="Calibri"/>
          <w:sz w:val="21"/>
          <w:szCs w:val="21"/>
        </w:rPr>
        <w:t xml:space="preserve">The scheduled job and service account registers, so jobs run once, from one place, under a working identity.</w:t>
      </w:r>
    </w:p>
    <w:p>
      <w:pPr>
        <w:pStyle w:val="ListParagraph"/>
        <w:numPr>
          <w:ilvl w:val="0"/>
          <w:numId w:val="3"/>
        </w:numPr>
        <w:spacing w:after="60" w:line="264"/>
      </w:pPr>
      <w:r>
        <w:rPr>
          <w:rFonts w:ascii="Calibri" w:cs="Calibri" w:eastAsia="Calibri" w:hAnsi="Calibri"/>
          <w:sz w:val="21"/>
          <w:szCs w:val="21"/>
        </w:rPr>
        <w:t xml:space="preserve">The move-group sequence, reconciled between the playbook and the Execution Workflow.</w:t>
      </w:r>
    </w:p>
    <w:p>
      <w:pPr>
        <w:pStyle w:val="ListParagraph"/>
        <w:numPr>
          <w:ilvl w:val="0"/>
          <w:numId w:val="3"/>
        </w:numPr>
        <w:spacing w:after="60" w:line="264"/>
      </w:pPr>
      <w:r>
        <w:rPr>
          <w:rFonts w:ascii="Calibri" w:cs="Calibri" w:eastAsia="Calibri" w:hAnsi="Calibri"/>
          <w:sz w:val="21"/>
          <w:szCs w:val="21"/>
        </w:rPr>
        <w:t xml:space="preserve">A formal close of decision W3-UTIL-D1 (container conversion) and of LXENTUTL01's disposition.</w:t>
      </w:r>
    </w:p>
    <w:sectPr>
      <w:footerReference w:type="default" r:id="rId9"/>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8A"/>
        <w:sz w:val="16"/>
        <w:szCs w:val="16"/>
      </w:rPr>
      <w:t xml:space="preserve">Utility Playbook v0.4 – Section-by-Section Summary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8A"/>
        <w:sz w:val="16"/>
        <w:szCs w:val="16"/>
      </w:rPr>
      <w:t xml:space="preserve">Utility Playbook v0.4 – Section-by-Section Summary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8A"/>
        <w:sz w:val="16"/>
        <w:szCs w:val="16"/>
      </w:rPr>
      <w:t xml:space="preserve">Utility Playbook v0.4 – Section-by-Section Summary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D4A73"/>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5D8A"/>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3C4E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71d6a230b899aac071deff8c6ce40028d14dfe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2026-09-24T11:51:56.226Z</dcterms:created>
  <dcterms:modified xsi:type="dcterms:W3CDTF">2026-09-24T11:51:56.226Z</dcterms:modified>
</cp:coreProperties>
</file>

<file path=docProps/custom.xml><?xml version="1.0" encoding="utf-8"?>
<Properties xmlns="http://schemas.openxmlformats.org/officeDocument/2006/custom-properties" xmlns:vt="http://schemas.openxmlformats.org/officeDocument/2006/docPropsVTypes"/>
</file>