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Insurance Quote Comparison Tool</w:t>
        <w:br/>
        <w:t>Project Documentation — MVP</w:t>
      </w:r>
    </w:p>
    <w:p>
      <w:pPr>
        <w:jc w:val="center"/>
      </w:pPr>
      <w:r>
        <w:rPr>
          <w:sz w:val="22"/>
        </w:rPr>
        <w:t>Full MVP build, deployed and live</w:t>
        <w:br/>
        <w:t>Prepared: 10 September 2026</w:t>
        <w:br/>
        <w:t>Repository: github.com/msajeeb003/UK-Insurancce (branch: main, CI green)</w:t>
        <w:br/>
        <w:t>Specification: BRD v1.2, the approved UI wireframe, and the brokerage's approved presentation deck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rPr>
          <w:b w:val="0"/>
        </w:rPr>
        <w:t>The Insurance Quote Comparison Tool is an internal application for a UK credit insurance brokerage. A broker signs in, sets up a client project, uploads insurer quotation documents (PDF or Excel), reviews the AI-extracted comparison on an editable grid, selects a recommendation, and generates the client presentation (PowerPoint and PDF) plus an editable Excel of buyer credit limits. Projects, uploaded documents and generated exports are stored server-side and shared by all users.</w:t>
      </w:r>
    </w:p>
    <w:p>
      <w:r>
        <w:rPr>
          <w:b w:val="0"/>
        </w:rPr>
        <w:t>Status: every numbered BRD requirement is either built and tested, or is an explicitly client-owned decision (listed in section 12). The application is deployed and running on Railway (EU region) behind HTTPS.</w:t>
      </w:r>
    </w:p>
    <w:p>
      <w:r>
        <w:rPr>
          <w:b w:val="0"/>
        </w:rPr>
        <w:t>Core principles enforced throughout (BRD section 4):</w:t>
      </w:r>
    </w:p>
    <w:p>
      <w:pPr>
        <w:pStyle w:val="ListBullet"/>
      </w:pPr>
      <w:r>
        <w:t>Blank, never guessed — a value not present in the document stays empty; a deterministic verification pass re-checks every extracted value against the document text.</w:t>
      </w:r>
    </w:p>
    <w:p>
      <w:pPr>
        <w:pStyle w:val="ListBullet"/>
      </w:pPr>
      <w:r>
        <w:t>Every value is source-linked — clicking a page chip opens an image of the actual stored PDF page.</w:t>
      </w:r>
    </w:p>
    <w:p>
      <w:pPr>
        <w:pStyle w:val="ListBullet"/>
      </w:pPr>
      <w:r>
        <w:t>Every field is editable; the system never recommends an insurer and never writes a sentence of the client deck (all wording is fixed template or broker-written).</w:t>
      </w:r>
    </w:p>
    <w:p>
      <w:pPr>
        <w:pStyle w:val="ListBullet"/>
      </w:pPr>
      <w:r>
        <w:t>Set beats guessed — Type of policy and Debt collection support are set by broker/rule, never extracted.</w:t>
      </w:r>
    </w:p>
    <w:p>
      <w:pPr>
        <w:pStyle w:val="ListBullet"/>
      </w:pPr>
      <w:r>
        <w:t>Nothing publishes automatically — export stays blocked (server-enforced) until the four key financial values are confirmed.</w:t>
      </w:r>
    </w:p>
    <w:p>
      <w:pPr>
        <w:pStyle w:val="ListBullet"/>
      </w:pPr>
      <w:r>
        <w:t>Configuration, not code — insurer list, entity aliases and terminology live in JSON files the client can edit without a release.</w:t>
      </w:r>
    </w:p>
    <w:p>
      <w:pPr>
        <w:pStyle w:val="Heading1"/>
      </w:pPr>
      <w:r>
        <w:t>2. Architecture</w:t>
      </w:r>
    </w:p>
    <w:p>
      <w:r>
        <w:rPr>
          <w:b w:val="0"/>
        </w:rPr>
        <w:t>Modular repository: backend/ (Python FastAPI service), frontend/ (static HTML/CSS/JavaScript, no framework, no build step), plus a Dockerfile so any container platform deploys straight from GitHub.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app/api</w:t>
            </w:r>
          </w:p>
        </w:tc>
        <w:tc>
          <w:tcPr>
            <w:tcW w:type="dxa" w:w="4320"/>
          </w:tcPr>
          <w:p>
            <w:r>
              <w:t>HTTP endpoints: extraction, presentation, auth (login/logout/me), projects, document page images</w:t>
            </w:r>
          </w:p>
        </w:tc>
      </w:tr>
      <w:tr>
        <w:tc>
          <w:tcPr>
            <w:tcW w:type="dxa" w:w="4320"/>
          </w:tcPr>
          <w:p>
            <w:r>
              <w:t>app/core</w:t>
            </w:r>
          </w:p>
        </w:tc>
        <w:tc>
          <w:tcPr>
            <w:tcW w:type="dxa" w:w="4320"/>
          </w:tcPr>
          <w:p>
            <w:r>
              <w:t>Settings (.env, SecretStr), SQLite persistence, authentication (scrypt + sessions), error hierarchy</w:t>
            </w:r>
          </w:p>
        </w:tc>
      </w:tr>
      <w:tr>
        <w:tc>
          <w:tcPr>
            <w:tcW w:type="dxa" w:w="4320"/>
          </w:tcPr>
          <w:p>
            <w:r>
              <w:t>app/extraction</w:t>
            </w:r>
          </w:p>
        </w:tc>
        <w:tc>
          <w:tcPr>
            <w:tcW w:type="dxa" w:w="4320"/>
          </w:tcPr>
          <w:p>
            <w:r>
              <w:t>Document-to-text engines: PyMuPDF (digital PDF), Azure DI / Docling (scanned), openpyxl + xlrd (Excel)</w:t>
            </w:r>
          </w:p>
        </w:tc>
      </w:tr>
      <w:tr>
        <w:tc>
          <w:tcPr>
            <w:tcW w:type="dxa" w:w="4320"/>
          </w:tcPr>
          <w:p>
            <w:r>
              <w:t>app/llm</w:t>
            </w:r>
          </w:p>
        </w:tc>
        <w:tc>
          <w:tcPr>
            <w:tcW w:type="dxa" w:w="4320"/>
          </w:tcPr>
          <w:p>
            <w:r>
              <w:t>Shared extraction prompt, Claude and OpenAI extractors, provider router</w:t>
            </w:r>
          </w:p>
        </w:tc>
      </w:tr>
      <w:tr>
        <w:tc>
          <w:tcPr>
            <w:tcW w:type="dxa" w:w="4320"/>
          </w:tcPr>
          <w:p>
            <w:r>
              <w:t>app/models</w:t>
            </w:r>
          </w:p>
        </w:tc>
        <w:tc>
          <w:tcPr>
            <w:tcW w:type="dxa" w:w="4320"/>
          </w:tcPr>
          <w:p>
            <w:r>
              <w:t>Pydantic schemas: structured-output contract, API responses, presentation request</w:t>
            </w:r>
          </w:p>
        </w:tc>
      </w:tr>
      <w:tr>
        <w:tc>
          <w:tcPr>
            <w:tcW w:type="dxa" w:w="4320"/>
          </w:tcPr>
          <w:p>
            <w:r>
              <w:t>app/services</w:t>
            </w:r>
          </w:p>
        </w:tc>
        <w:tc>
          <w:tcPr>
            <w:tcW w:type="dxa" w:w="4320"/>
          </w:tcPr>
          <w:p>
            <w:r>
              <w:t>Pipeline orchestration, mapping library, deterministic verification, presentation rendering</w:t>
            </w:r>
          </w:p>
        </w:tc>
      </w:tr>
      <w:tr>
        <w:tc>
          <w:tcPr>
            <w:tcW w:type="dxa" w:w="4320"/>
          </w:tcPr>
          <w:p>
            <w:r>
              <w:t>app/manage.py</w:t>
            </w:r>
          </w:p>
        </w:tc>
        <w:tc>
          <w:tcPr>
            <w:tcW w:type="dxa" w:w="4320"/>
          </w:tcPr>
          <w:p>
            <w:r>
              <w:t>User administration CLI (add/list/remove users — no self-registration)</w:t>
            </w:r>
          </w:p>
        </w:tc>
      </w:tr>
    </w:tbl>
    <w:p/>
    <w:p>
      <w:r>
        <w:rPr>
          <w:b w:val="0"/>
        </w:rPr>
        <w:t>Storage: one SQLite database plus a documents/exports folder under DATA_DIR — the right fit for the BRD's scale (3–4 internal users): no database server to operate, and a backup is a copy of one directory.</w:t>
      </w:r>
    </w:p>
    <w:p>
      <w:pPr>
        <w:pStyle w:val="Heading1"/>
      </w:pPr>
      <w:r>
        <w:t>3. Technology stack</w:t>
      </w:r>
    </w:p>
    <w:p>
      <w:pPr>
        <w:pStyle w:val="Heading2"/>
      </w:pPr>
      <w:r>
        <w:t>3.1 Backend (Python)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FastAPI / Uvicorn</w:t>
            </w:r>
          </w:p>
        </w:tc>
        <w:tc>
          <w:tcPr>
            <w:tcW w:type="dxa" w:w="2880"/>
          </w:tcPr>
          <w:p>
            <w:r>
              <w:t>0.141 / 0.52</w:t>
            </w:r>
          </w:p>
        </w:tc>
        <w:tc>
          <w:tcPr>
            <w:tcW w:type="dxa" w:w="2880"/>
          </w:tcPr>
          <w:p>
            <w:r>
              <w:t>HTTP API</w:t>
            </w:r>
          </w:p>
        </w:tc>
      </w:tr>
      <w:tr>
        <w:tc>
          <w:tcPr>
            <w:tcW w:type="dxa" w:w="2880"/>
          </w:tcPr>
          <w:p>
            <w:r>
              <w:t>Pydantic (+settings)</w:t>
            </w:r>
          </w:p>
        </w:tc>
        <w:tc>
          <w:tcPr>
            <w:tcW w:type="dxa" w:w="2880"/>
          </w:tcPr>
          <w:p>
            <w:r>
              <w:t>2.13</w:t>
            </w:r>
          </w:p>
        </w:tc>
        <w:tc>
          <w:tcPr>
            <w:tcW w:type="dxa" w:w="2880"/>
          </w:tcPr>
          <w:p>
            <w:r>
              <w:t>Models, strict structured-output schema, typed .env</w:t>
            </w:r>
          </w:p>
        </w:tc>
      </w:tr>
      <w:tr>
        <w:tc>
          <w:tcPr>
            <w:tcW w:type="dxa" w:w="2880"/>
          </w:tcPr>
          <w:p>
            <w:r>
              <w:t>SQLite (stdlib)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Users, sessions, projects, retained documents, exports</w:t>
            </w:r>
          </w:p>
        </w:tc>
      </w:tr>
      <w:tr>
        <w:tc>
          <w:tcPr>
            <w:tcW w:type="dxa" w:w="2880"/>
          </w:tcPr>
          <w:p>
            <w:r>
              <w:t>hashlib.scrypt (stdlib)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Password hashing; session tokens stored as SHA-256 hashes</w:t>
            </w:r>
          </w:p>
        </w:tc>
      </w:tr>
      <w:tr>
        <w:tc>
          <w:tcPr>
            <w:tcW w:type="dxa" w:w="2880"/>
          </w:tcPr>
          <w:p>
            <w:r>
              <w:t>PyMuPDF</w:t>
            </w:r>
          </w:p>
        </w:tc>
        <w:tc>
          <w:tcPr>
            <w:tcW w:type="dxa" w:w="2880"/>
          </w:tcPr>
          <w:p>
            <w:r>
              <w:t>1.28.2</w:t>
            </w:r>
          </w:p>
        </w:tc>
        <w:tc>
          <w:tcPr>
            <w:tcW w:type="dxa" w:w="2880"/>
          </w:tcPr>
          <w:p>
            <w:r>
              <w:t>Digital PDF text, PDF export rendering, source-page images</w:t>
            </w:r>
          </w:p>
        </w:tc>
      </w:tr>
      <w:tr>
        <w:tc>
          <w:tcPr>
            <w:tcW w:type="dxa" w:w="2880"/>
          </w:tcPr>
          <w:p>
            <w:r>
              <w:t>anthropic</w:t>
            </w:r>
          </w:p>
        </w:tc>
        <w:tc>
          <w:tcPr>
            <w:tcW w:type="dxa" w:w="2880"/>
          </w:tcPr>
          <w:p>
            <w:r>
              <w:t>1.4.0</w:t>
            </w:r>
          </w:p>
        </w:tc>
        <w:tc>
          <w:tcPr>
            <w:tcW w:type="dxa" w:w="2880"/>
          </w:tcPr>
          <w:p>
            <w:r>
              <w:t>Claude structured extraction (default: claude-haiku-4-5)</w:t>
            </w:r>
          </w:p>
        </w:tc>
      </w:tr>
      <w:tr>
        <w:tc>
          <w:tcPr>
            <w:tcW w:type="dxa" w:w="2880"/>
          </w:tcPr>
          <w:p>
            <w:r>
              <w:t>openai</w:t>
            </w:r>
          </w:p>
        </w:tc>
        <w:tc>
          <w:tcPr>
            <w:tcW w:type="dxa" w:w="2880"/>
          </w:tcPr>
          <w:p>
            <w:r>
              <w:t>3.8.0</w:t>
            </w:r>
          </w:p>
        </w:tc>
        <w:tc>
          <w:tcPr>
            <w:tcW w:type="dxa" w:w="2880"/>
          </w:tcPr>
          <w:p>
            <w:r>
              <w:t>Alternative extraction provider</w:t>
            </w:r>
          </w:p>
        </w:tc>
      </w:tr>
      <w:tr>
        <w:tc>
          <w:tcPr>
            <w:tcW w:type="dxa" w:w="2880"/>
          </w:tcPr>
          <w:p>
            <w:r>
              <w:t>Docling (IBM)</w:t>
            </w:r>
          </w:p>
        </w:tc>
        <w:tc>
          <w:tcPr>
            <w:tcW w:type="dxa" w:w="2880"/>
          </w:tcPr>
          <w:p>
            <w:r>
              <w:t>2.126.0</w:t>
            </w:r>
          </w:p>
        </w:tc>
        <w:tc>
          <w:tcPr>
            <w:tcW w:type="dxa" w:w="2880"/>
          </w:tcPr>
          <w:p>
            <w:r>
              <w:t>Open-source OCR for scanned PDFs (optional install)</w:t>
            </w:r>
          </w:p>
        </w:tc>
      </w:tr>
      <w:tr>
        <w:tc>
          <w:tcPr>
            <w:tcW w:type="dxa" w:w="2880"/>
          </w:tcPr>
          <w:p>
            <w:r>
              <w:t>azure-ai-documentintelligence</w:t>
            </w:r>
          </w:p>
        </w:tc>
        <w:tc>
          <w:tcPr>
            <w:tcW w:type="dxa" w:w="2880"/>
          </w:tcPr>
          <w:p>
            <w:r>
              <w:t>1.0.2</w:t>
            </w:r>
          </w:p>
        </w:tc>
        <w:tc>
          <w:tcPr>
            <w:tcW w:type="dxa" w:w="2880"/>
          </w:tcPr>
          <w:p>
            <w:r>
              <w:t>Cloud OCR, used automatically when keys are configured</w:t>
            </w:r>
          </w:p>
        </w:tc>
      </w:tr>
      <w:tr>
        <w:tc>
          <w:tcPr>
            <w:tcW w:type="dxa" w:w="2880"/>
          </w:tcPr>
          <w:p>
            <w:r>
              <w:t>openpyxl / xlrd</w:t>
            </w:r>
          </w:p>
        </w:tc>
        <w:tc>
          <w:tcPr>
            <w:tcW w:type="dxa" w:w="2880"/>
          </w:tcPr>
          <w:p>
            <w:r>
              <w:t>3.1.5 / 2.0.2</w:t>
            </w:r>
          </w:p>
        </w:tc>
        <w:tc>
          <w:tcPr>
            <w:tcW w:type="dxa" w:w="2880"/>
          </w:tcPr>
          <w:p>
            <w:r>
              <w:t>.xlsx and legacy .xls schedules; limits Excel export</w:t>
            </w:r>
          </w:p>
        </w:tc>
      </w:tr>
      <w:tr>
        <w:tc>
          <w:tcPr>
            <w:tcW w:type="dxa" w:w="2880"/>
          </w:tcPr>
          <w:p>
            <w:r>
              <w:t>python-pptx</w:t>
            </w:r>
          </w:p>
        </w:tc>
        <w:tc>
          <w:tcPr>
            <w:tcW w:type="dxa" w:w="2880"/>
          </w:tcPr>
          <w:p>
            <w:r>
              <w:t>1.0.2</w:t>
            </w:r>
          </w:p>
        </w:tc>
        <w:tc>
          <w:tcPr>
            <w:tcW w:type="dxa" w:w="2880"/>
          </w:tcPr>
          <w:p>
            <w:r>
              <w:t>PowerPoint generation (Google Slides compatible)</w:t>
            </w:r>
          </w:p>
        </w:tc>
      </w:tr>
    </w:tbl>
    <w:p/>
    <w:p>
      <w:pPr>
        <w:pStyle w:val="Heading2"/>
      </w:pPr>
      <w:r>
        <w:t>3.2 Frontend</w:t>
      </w:r>
    </w:p>
    <w:p>
      <w:r>
        <w:rPr>
          <w:b w:val="0"/>
        </w:rPr>
        <w:t>HTML5 + CSS3 + vanilla JavaScript ES modules — no framework, no dependency, no build step. Six modules (~1,150 lines): constants, state (server-synced), views, api, main. All copy verified word-for-word against the approved wireframe.</w:t>
      </w:r>
    </w:p>
    <w:p>
      <w:pPr>
        <w:pStyle w:val="Heading2"/>
      </w:pPr>
      <w:r>
        <w:t>3.3 Quality tooling</w:t>
      </w:r>
    </w:p>
    <w:p>
      <w:r>
        <w:rPr>
          <w:b w:val="0"/>
        </w:rPr>
        <w:t>pytest (83 tests), Ruff (clean), GitHub Actions CI (green), httpx test client. Deployment: Dockerfile (Railway/Render/any container host) and a VPS guide (DEPLOY.md).</w:t>
      </w:r>
    </w:p>
    <w:p>
      <w:pPr>
        <w:pStyle w:val="Heading1"/>
      </w:pPr>
      <w:r>
        <w:t>4. The AI extraction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happens</w:t>
            </w:r>
          </w:p>
        </w:tc>
      </w:tr>
      <w:tr>
        <w:tc>
          <w:tcPr>
            <w:tcW w:type="dxa" w:w="4320"/>
          </w:tcPr>
          <w:p>
            <w:r>
              <w:t>1. Validation</w:t>
            </w:r>
          </w:p>
        </w:tc>
        <w:tc>
          <w:tcPr>
            <w:tcW w:type="dxa" w:w="4320"/>
          </w:tcPr>
          <w:p>
            <w:r>
              <w:t>Type by extension/content-type/magic bytes; chunked size cap; auth required.</w:t>
            </w:r>
          </w:p>
        </w:tc>
      </w:tr>
      <w:tr>
        <w:tc>
          <w:tcPr>
            <w:tcW w:type="dxa" w:w="4320"/>
          </w:tcPr>
          <w:p>
            <w:r>
              <w:t>2. Engine routing</w:t>
            </w:r>
          </w:p>
        </w:tc>
        <w:tc>
          <w:tcPr>
            <w:tcW w:type="dxa" w:w="4320"/>
          </w:tcPr>
          <w:p>
            <w:r>
              <w:t>Digital PDF -&gt; PyMuPDF; scanned -&gt; Azure DI (if configured) else Docling; Excel -&gt; openpyxl/xlrd by magic bytes.</w:t>
            </w:r>
          </w:p>
        </w:tc>
      </w:tr>
      <w:tr>
        <w:tc>
          <w:tcPr>
            <w:tcW w:type="dxa" w:w="4320"/>
          </w:tcPr>
          <w:p>
            <w:r>
              <w:t>3. Page tagging</w:t>
            </w:r>
          </w:p>
        </w:tc>
        <w:tc>
          <w:tcPr>
            <w:tcW w:type="dxa" w:w="4320"/>
          </w:tcPr>
          <w:p>
            <w:r>
              <w:t>Explicit '=== PAGE n ===' markers — the LLM's only source of page numbers, keeping source links honest.</w:t>
            </w:r>
          </w:p>
        </w:tc>
      </w:tr>
      <w:tr>
        <w:tc>
          <w:tcPr>
            <w:tcW w:type="dxa" w:w="4320"/>
          </w:tcPr>
          <w:p>
            <w:r>
              <w:t>4. Prompt</w:t>
            </w:r>
          </w:p>
        </w:tc>
        <w:tc>
          <w:tcPr>
            <w:tcW w:type="dxa" w:w="4320"/>
          </w:tcPr>
          <w:p>
            <w:r>
              <w:t>One shared prompt for every provider, built at request time from the client's terminology library and insurer list; ten strict rules incl. never-guess, injection defence, and the Protracted Default rule (a claims waiting period is not an extension period).</w:t>
            </w:r>
          </w:p>
        </w:tc>
      </w:tr>
      <w:tr>
        <w:tc>
          <w:tcPr>
            <w:tcW w:type="dxa" w:w="4320"/>
          </w:tcPr>
          <w:p>
            <w:r>
              <w:t>5. Structured output</w:t>
            </w:r>
          </w:p>
        </w:tc>
        <w:tc>
          <w:tcPr>
            <w:tcW w:type="dxa" w:w="4320"/>
          </w:tcPr>
          <w:p>
            <w:r>
              <w:t>SDK-enforced schema — the model can only return the 16-field shape. Default Claude Haiku; provider is a one-line config change.</w:t>
            </w:r>
          </w:p>
        </w:tc>
      </w:tr>
      <w:tr>
        <w:tc>
          <w:tcPr>
            <w:tcW w:type="dxa" w:w="4320"/>
          </w:tcPr>
          <w:p>
            <w:r>
              <w:t>6. Verification</w:t>
            </w:r>
          </w:p>
        </w:tc>
        <w:tc>
          <w:tcPr>
            <w:tcW w:type="dxa" w:w="4320"/>
          </w:tcPr>
          <w:p>
            <w:r>
              <w:t>Deterministic server pass re-finds every value in the document text; anything unfound is downgraded to 'uncertain', page link cleared, reported in unverified_fields — a hallucination cannot pass silently.</w:t>
            </w:r>
          </w:p>
        </w:tc>
      </w:tr>
      <w:tr>
        <w:tc>
          <w:tcPr>
            <w:tcW w:type="dxa" w:w="4320"/>
          </w:tcPr>
          <w:p>
            <w:r>
              <w:t>7. Rule-set fields</w:t>
            </w:r>
          </w:p>
        </w:tc>
        <w:tc>
          <w:tcPr>
            <w:tcW w:type="dxa" w:w="4320"/>
          </w:tcPr>
          <w:p>
            <w:r>
              <w:t>Debt collection from insurers.json (Allianz/Atradius/Coface -&gt; Included), matched through entity aliases; Type of policy broker-set.</w:t>
            </w:r>
          </w:p>
        </w:tc>
      </w:tr>
      <w:tr>
        <w:tc>
          <w:tcPr>
            <w:tcW w:type="dxa" w:w="4320"/>
          </w:tcPr>
          <w:p>
            <w:r>
              <w:t>8. Review summary + retention</w:t>
            </w:r>
          </w:p>
        </w:tc>
        <w:tc>
          <w:tcPr>
            <w:tcW w:type="dxa" w:w="4320"/>
          </w:tcPr>
          <w:p>
            <w:r>
              <w:t>Server computes missing/uncertain/unverified and the confirm list; the uploaded file is retained against the project.</w:t>
            </w:r>
          </w:p>
        </w:tc>
      </w:tr>
    </w:tbl>
    <w:p/>
    <w:p>
      <w:pPr>
        <w:pStyle w:val="Heading2"/>
      </w:pPr>
      <w:r>
        <w:t>4.1 Insurer identification and entity aliases</w:t>
      </w:r>
    </w:p>
    <w:p>
      <w:r>
        <w:rPr>
          <w:b w:val="0"/>
        </w:rPr>
        <w:t>Insurers print their legal entity names, not their brand names. config/insurers.json maps document wordings to the standing list — e.g. 'QBE UK LIMITED' -&gt; QBE, 'Compagnie Française d'Assurance...' -&gt; Coface (its full legal name), 'Euler Hermes' -&gt; Allianz Trade, 'HCC International Insurance Company plc' -&gt; Tokio Marine HCC, and 'The Marine Insurance Company Limited' -&gt; Cartan (Cartan Trade UK is its Appointed Representative — source: cartantrade.com/legal-notice). Every match is shown on the upload card ('matched: ...') so a broker verifies it by eye; an unmatched insurer is never guessed — it keeps its own name and the rule default. The alias list is client-editable configuration and should be signed off by the client.</w:t>
      </w:r>
    </w:p>
    <w:p>
      <w:pPr>
        <w:pStyle w:val="Heading1"/>
      </w:pPr>
      <w:r>
        <w:t>5. Authentication and storage (BRD 2.9 / 2.10)</w:t>
      </w:r>
    </w:p>
    <w:p>
      <w:pPr>
        <w:pStyle w:val="ListBullet"/>
      </w:pPr>
      <w:r>
        <w:t>Email + password sign-in; no self-registration. First user seeded from ADMIN_EMAIL/ADMIN_PASSWORD; further users via the manage CLI. Passwords scrypt-hashed; sessions are HttpOnly cookies whose tokens are stored only as hashes.</w:t>
      </w:r>
    </w:p>
    <w:p>
      <w:pPr>
        <w:pStyle w:val="ListBullet"/>
      </w:pPr>
      <w:r>
        <w:t>Every data endpoint returns 401 without a session (verified live on the deployed server).</w:t>
      </w:r>
    </w:p>
    <w:p>
      <w:pPr>
        <w:pStyle w:val="ListBullet"/>
      </w:pPr>
      <w:r>
        <w:t>Projects are stored server-side, shared by all users, reopenable to the review screen; every edit auto-saves (debounced).</w:t>
      </w:r>
    </w:p>
    <w:p>
      <w:pPr>
        <w:pStyle w:val="ListBullet"/>
      </w:pPr>
      <w:r>
        <w:t>Uploaded documents are retained per project; the review grid's page chips open the real stored PDF page.</w:t>
      </w:r>
    </w:p>
    <w:p>
      <w:pPr>
        <w:pStyle w:val="ListBullet"/>
      </w:pPr>
      <w:r>
        <w:t>Generated exports are retained; the project list carries PPT/PDF download links. Regenerating replaces the file (no versioning — BRD 2.9).</w:t>
      </w:r>
    </w:p>
    <w:p>
      <w:pPr>
        <w:pStyle w:val="ListBullet"/>
      </w:pPr>
      <w:r>
        <w:t>Deleting a project removes its rows, documents and exports (BRD 2.11 deletion on request).</w:t>
      </w:r>
    </w:p>
    <w:p>
      <w:pPr>
        <w:pStyle w:val="Heading1"/>
      </w:pPr>
      <w:r>
        <w:t>6. Presentation export (BRD 2.8)</w:t>
      </w:r>
    </w:p>
    <w:p>
      <w:r>
        <w:rPr>
          <w:b w:val="0"/>
        </w:rPr>
        <w:t>The deck is the brokerage's approved template, rebuilt exactly: the navy/teal brand, cover '‹Client› - [Renewal] Credit Insurance Presentation', About Us, Feedback of Terms (fixed Insurance Act 2015 'Duty of Fair Presentation' wording, insurers approached, auto-generated declined line), Terms Comparison (the 16 BRD rows with the sample deck's labels, recommended column highlighted, expiring column greyed), Credit Limits with a computed Total row, 'Our understanding of your demands &amp; needs' with the merged recommendation and 'Our status' FCA wording, Contact Us. Outputs: editable PPTX (opens cleanly in Google Slides), PDF, and the limits table as Excel. The 2.5 gate is enforced server-side (HTTP 409 until the four key values are confirmed). No AI-written text appears anywhere in the deck — every sentence is fixed template, broker-written, or reviewed data.</w:t>
      </w:r>
    </w:p>
    <w:p>
      <w:pPr>
        <w:pStyle w:val="Heading1"/>
      </w:pPr>
      <w:r>
        <w:t>7.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GET /health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  <w:tc>
          <w:tcPr>
            <w:tcW w:type="dxa" w:w="2880"/>
          </w:tcPr>
          <w:p>
            <w:r>
              <w:t>Liveness + configuration sanity</w:t>
            </w:r>
          </w:p>
        </w:tc>
      </w:tr>
      <w:tr>
        <w:tc>
          <w:tcPr>
            <w:tcW w:type="dxa" w:w="2880"/>
          </w:tcPr>
          <w:p>
            <w:r>
              <w:t>GET /insurers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  <w:tc>
          <w:tcPr>
            <w:tcW w:type="dxa" w:w="2880"/>
          </w:tcPr>
          <w:p>
            <w:r>
              <w:t>Standing list + debt rule (config)</w:t>
            </w:r>
          </w:p>
        </w:tc>
      </w:tr>
      <w:tr>
        <w:tc>
          <w:tcPr>
            <w:tcW w:type="dxa" w:w="2880"/>
          </w:tcPr>
          <w:p>
            <w:r>
              <w:t>POST /auth/login · /auth/logout · GET /auth/me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Session management</w:t>
            </w:r>
          </w:p>
        </w:tc>
      </w:tr>
      <w:tr>
        <w:tc>
          <w:tcPr>
            <w:tcW w:type="dxa" w:w="2880"/>
          </w:tcPr>
          <w:p>
            <w:r>
              <w:t>POST /extract-quote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Upload -&gt; structured JSON; document retained when a project id is sent</w:t>
            </w:r>
          </w:p>
        </w:tc>
      </w:tr>
      <w:tr>
        <w:tc>
          <w:tcPr>
            <w:tcW w:type="dxa" w:w="2880"/>
          </w:tcPr>
          <w:p>
            <w:r>
              <w:t>POST /generate-presentation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Reviewed state -&gt; pptx / pdf / limits-xlsx; retained per project</w:t>
            </w:r>
          </w:p>
        </w:tc>
      </w:tr>
      <w:tr>
        <w:tc>
          <w:tcPr>
            <w:tcW w:type="dxa" w:w="2880"/>
          </w:tcPr>
          <w:p>
            <w:r>
              <w:t>GET/POST/DELETE /projects…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List, save, reopen, delete; export downloads</w:t>
            </w:r>
          </w:p>
        </w:tc>
      </w:tr>
      <w:tr>
        <w:tc>
          <w:tcPr>
            <w:tcW w:type="dxa" w:w="2880"/>
          </w:tcPr>
          <w:p>
            <w:r>
              <w:t>GET /documents/{id}/page/{n}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Stored PDF page as an image (S5 source view)</w:t>
            </w:r>
          </w:p>
        </w:tc>
      </w:tr>
    </w:tbl>
    <w:p/>
    <w:p>
      <w:r>
        <w:rPr>
          <w:b w:val="0"/>
        </w:rPr>
        <w:t>Hardening: per-IP rate limiting, strict CSP and security headers (verified live), chunked upload caps, client-safe errors, SecretStr secrets, prompt-injection fencing, server-side export gate.</w:t>
      </w:r>
    </w:p>
    <w:p>
      <w:pPr>
        <w:pStyle w:val="Heading1"/>
      </w:pPr>
      <w:r>
        <w:t>8. BRD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BRD 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2.1 Project setup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S3 form; policy type pre-fills columns; renewal flags the expiring policy</w:t>
            </w:r>
          </w:p>
        </w:tc>
      </w:tr>
      <w:tr>
        <w:tc>
          <w:tcPr>
            <w:tcW w:type="dxa" w:w="2880"/>
          </w:tcPr>
          <w:p>
            <w:r>
              <w:t>2.2 Upload &amp; extraction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Digital+scanned PDF, .xlsx, legacy .xls; blank-never-guessed; page links; confidence flags; per-file failure handling; cumulative uploads</w:t>
            </w:r>
          </w:p>
        </w:tc>
      </w:tr>
      <w:tr>
        <w:tc>
          <w:tcPr>
            <w:tcW w:type="dxa" w:w="2880"/>
          </w:tcPr>
          <w:p>
            <w:r>
              <w:t>2.3 Fields + mapping library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16 rows; the client's official terminology sheets (Allianz, Atradius, Coface, Nexus) merged into config; Excess type kept verbatim</w:t>
            </w:r>
          </w:p>
        </w:tc>
      </w:tr>
      <w:tr>
        <w:tc>
          <w:tcPr>
            <w:tcW w:type="dxa" w:w="2880"/>
          </w:tcPr>
          <w:p>
            <w:r>
              <w:t>2.4 Set fields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Broker-set policy type; insurer-rule debt collection with entity aliases; both overridable</w:t>
            </w:r>
          </w:p>
        </w:tc>
      </w:tr>
      <w:tr>
        <w:tc>
          <w:tcPr>
            <w:tcW w:type="dxa" w:w="2880"/>
          </w:tcPr>
          <w:p>
            <w:r>
              <w:t>2.5 Confirmation gate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Server-enforced 409 until premium, indemnity, excess, max liability confirmed</w:t>
            </w:r>
          </w:p>
        </w:tc>
      </w:tr>
      <w:tr>
        <w:tc>
          <w:tcPr>
            <w:tcW w:type="dxa" w:w="2880"/>
          </w:tcPr>
          <w:p>
            <w:r>
              <w:t>2.6 Buyer credit limits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Schedules (PDF/xlsx/xls) and quote addenda; editable grid with Total row; Excel export; offers park until the matching insurer's column exists</w:t>
            </w:r>
          </w:p>
        </w:tc>
      </w:tr>
      <w:tr>
        <w:tc>
          <w:tcPr>
            <w:tcW w:type="dxa" w:w="2880"/>
          </w:tcPr>
          <w:p>
            <w:r>
              <w:t>2.7 Recommendation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Broker selects; name merged; column highlighted in both exported tables; wording fixed</w:t>
            </w:r>
          </w:p>
        </w:tc>
      </w:tr>
      <w:tr>
        <w:tc>
          <w:tcPr>
            <w:tcW w:type="dxa" w:w="2880"/>
          </w:tcPr>
          <w:p>
            <w:r>
              <w:t>2.8 Presentation &amp; export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Approved template exactly; PPTX+PDF; 1–6 columns; limits page omitted when empty</w:t>
            </w:r>
          </w:p>
        </w:tc>
      </w:tr>
      <w:tr>
        <w:tc>
          <w:tcPr>
            <w:tcW w:type="dxa" w:w="2880"/>
          </w:tcPr>
          <w:p>
            <w:r>
              <w:t>2.9 Project history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Server-side projects, reopenable; documents retained; exports downloadable from the list; no versioning (per BRD)</w:t>
            </w:r>
          </w:p>
        </w:tc>
      </w:tr>
      <w:tr>
        <w:tc>
          <w:tcPr>
            <w:tcW w:type="dxa" w:w="2880"/>
          </w:tcPr>
          <w:p>
            <w:r>
              <w:t>2.10 Users &amp; access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Email+password login, no self-registration, identical permissions, all users see all projects</w:t>
            </w:r>
          </w:p>
        </w:tc>
      </w:tr>
      <w:tr>
        <w:tc>
          <w:tcPr>
            <w:tcW w:type="dxa" w:w="2880"/>
          </w:tcPr>
          <w:p>
            <w:r>
              <w:t>2.11 Data handling</w:t>
            </w:r>
          </w:p>
        </w:tc>
        <w:tc>
          <w:tcPr>
            <w:tcW w:type="dxa" w:w="2880"/>
          </w:tcPr>
          <w:p>
            <w:r>
              <w:t>Done / 1 client decision</w:t>
            </w:r>
          </w:p>
        </w:tc>
        <w:tc>
          <w:tcPr>
            <w:tcW w:type="dxa" w:w="2880"/>
          </w:tcPr>
          <w:p>
            <w:r>
              <w:t>EU hosting (Railway, EU region), HTTPS, access limited to named users, documents never train models, deletion-on-request endpoint. Pending: the client's retention period.</w:t>
            </w:r>
          </w:p>
        </w:tc>
      </w:tr>
      <w:tr>
        <w:tc>
          <w:tcPr>
            <w:tcW w:type="dxa" w:w="2880"/>
          </w:tcPr>
          <w:p>
            <w:r>
              <w:t>Screens S1–S8</w:t>
            </w:r>
          </w:p>
        </w:tc>
        <w:tc>
          <w:tcPr>
            <w:tcW w:type="dxa" w:w="2880"/>
          </w:tcPr>
          <w:p>
            <w:r>
              <w:t>All done</w:t>
            </w:r>
          </w:p>
        </w:tc>
        <w:tc>
          <w:tcPr>
            <w:tcW w:type="dxa" w:w="2880"/>
          </w:tcPr>
          <w:p>
            <w:r>
              <w:t>S1 real auth; S2 search/reopen/downloads; S5 real source-page view</w:t>
            </w:r>
          </w:p>
        </w:tc>
      </w:tr>
      <w:tr>
        <w:tc>
          <w:tcPr>
            <w:tcW w:type="dxa" w:w="2880"/>
          </w:tcPr>
          <w:p>
            <w:r>
              <w:t>Section 4 rules (13)</w:t>
            </w:r>
          </w:p>
        </w:tc>
        <w:tc>
          <w:tcPr>
            <w:tcW w:type="dxa" w:w="2880"/>
          </w:tcPr>
          <w:p>
            <w:r>
              <w:t>All enforced</w:t>
            </w:r>
          </w:p>
        </w:tc>
        <w:tc>
          <w:tcPr>
            <w:tcW w:type="dxa" w:w="2880"/>
          </w:tcPr>
          <w:p>
            <w:r>
              <w:t>Each pinned by at least one automated test or live check</w:t>
            </w:r>
          </w:p>
        </w:tc>
      </w:tr>
    </w:tbl>
    <w:p/>
    <w:p>
      <w:pPr>
        <w:pStyle w:val="Heading1"/>
      </w:pPr>
      <w:r>
        <w:t>9. Test results and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Automated suite</w:t>
            </w:r>
          </w:p>
        </w:tc>
        <w:tc>
          <w:tcPr>
            <w:tcW w:type="dxa" w:w="4320"/>
          </w:tcPr>
          <w:p>
            <w:r>
              <w:t>83 of 83 passing (12 test files: API, auth+storage, detector, Excel, library, OCR routing, pipeline, presentation, router, schema, security, verification)</w:t>
            </w:r>
          </w:p>
        </w:tc>
      </w:tr>
      <w:tr>
        <w:tc>
          <w:tcPr>
            <w:tcW w:type="dxa" w:w="4320"/>
          </w:tcPr>
          <w:p>
            <w:r>
              <w:t>Lint</w:t>
            </w:r>
          </w:p>
        </w:tc>
        <w:tc>
          <w:tcPr>
            <w:tcW w:type="dxa" w:w="4320"/>
          </w:tcPr>
          <w:p>
            <w:r>
              <w:t>Ruff clean</w:t>
            </w:r>
          </w:p>
        </w:tc>
      </w:tr>
      <w:tr>
        <w:tc>
          <w:tcPr>
            <w:tcW w:type="dxa" w:w="4320"/>
          </w:tcPr>
          <w:p>
            <w:r>
              <w:t>Continuous integration</w:t>
            </w:r>
          </w:p>
        </w:tc>
        <w:tc>
          <w:tcPr>
            <w:tcW w:type="dxa" w:w="4320"/>
          </w:tcPr>
          <w:p>
            <w:r>
              <w:t>GitHub Actions green on Linux/Python 3.12 (a day-one CI path issue was found and fixed — tests had always passed locally)</w:t>
            </w:r>
          </w:p>
        </w:tc>
      </w:tr>
      <w:tr>
        <w:tc>
          <w:tcPr>
            <w:tcW w:type="dxa" w:w="4320"/>
          </w:tcPr>
          <w:p>
            <w:r>
              <w:t>Presentation vs BRD 2.8</w:t>
            </w:r>
          </w:p>
        </w:tc>
        <w:tc>
          <w:tcPr>
            <w:tcW w:type="dxa" w:w="4320"/>
          </w:tcPr>
          <w:p>
            <w:r>
              <w:t>Verified line-by-line against the BRD table and the approved sample deck</w:t>
            </w:r>
          </w:p>
        </w:tc>
      </w:tr>
      <w:tr>
        <w:tc>
          <w:tcPr>
            <w:tcW w:type="dxa" w:w="4320"/>
          </w:tcPr>
          <w:p>
            <w:r>
              <w:t>Blind extraction tests</w:t>
            </w:r>
          </w:p>
        </w:tc>
        <w:tc>
          <w:tcPr>
            <w:tcW w:type="dxa" w:w="4320"/>
          </w:tcPr>
          <w:p>
            <w:r>
              <w:t>Nexus 11/11; Zurich 10/11 with the one miss self-flagged 'uncertain', then fixed by a prompt rule and re-run clean; OCR path verified on an image-only scan</w:t>
            </w:r>
          </w:p>
        </w:tc>
      </w:tr>
      <w:tr>
        <w:tc>
          <w:tcPr>
            <w:tcW w:type="dxa" w:w="4320"/>
          </w:tcPr>
          <w:p>
            <w:r>
              <w:t>Model comparison</w:t>
            </w:r>
          </w:p>
        </w:tc>
        <w:tc>
          <w:tcPr>
            <w:tcW w:type="dxa" w:w="4320"/>
          </w:tcPr>
          <w:p>
            <w:r>
              <w:t>Claude Haiku vs Sonnet: field-level parity on real documents; Haiku default (faster, cheaper); verification layer applies to any model</w:t>
            </w:r>
          </w:p>
        </w:tc>
      </w:tr>
      <w:tr>
        <w:tc>
          <w:tcPr>
            <w:tcW w:type="dxa" w:w="4320"/>
          </w:tcPr>
          <w:p>
            <w:r>
              <w:t>Live deployment smoke test</w:t>
            </w:r>
          </w:p>
        </w:tc>
        <w:tc>
          <w:tcPr>
            <w:tcW w:type="dxa" w:w="4320"/>
          </w:tcPr>
          <w:p>
            <w:r>
              <w:t>HTTPS up; health ok; correct model active; all data endpoints 401 unauthenticated; security headers present; latest build confirmed deployed</w:t>
            </w:r>
          </w:p>
        </w:tc>
      </w:tr>
    </w:tbl>
    <w:p/>
    <w:p>
      <w:pPr>
        <w:pStyle w:val="Heading1"/>
      </w:pPr>
      <w:r>
        <w:t>10. Deployment</w:t>
      </w:r>
    </w:p>
    <w:p>
      <w:r>
        <w:rPr>
          <w:b w:val="0"/>
        </w:rPr>
        <w:t>Live at: uk-insurancce-production.up.railway.app (Railway, EU region, automatic HTTPS). The repository's Dockerfile deploys on any container platform; DEPLOY.md also documents a Hetzner VPS setup (systemd + Caddy TLS) for when self-hosting is preferred. A volume mounted at /data holds the database, retained documents and exports — it must be attached for data to survive redeploys.</w:t>
      </w:r>
    </w:p>
    <w:p>
      <w:r>
        <w:rPr>
          <w:b w:val="0"/>
        </w:rPr>
        <w:t>Notes: the default container image omits the multi-GB open-source OCR stack — scanned PDFs need Azure keys or an INSTALL_OCR=1 build (digital PDFs and Excel, the large majority of documents, are unaffected and give a clear message otherwise).</w:t>
      </w:r>
    </w:p>
    <w:p>
      <w:pPr>
        <w:pStyle w:val="Heading1"/>
      </w:pPr>
      <w:r>
        <w:t>11. Changes since the previous version</w:t>
      </w:r>
    </w:p>
    <w:p>
      <w:pPr>
        <w:pStyle w:val="ListBullet"/>
      </w:pPr>
      <w:r>
        <w:t>Client materials configured: the official Insurer Specific Terminology sheets (4 insurers) merged into the mapping library; Cartan added to the standing list; the entity-alias map corrected with the client (Marine Insurance Company -&gt; Cartan, verified against cartantrade.com).</w:t>
      </w:r>
    </w:p>
    <w:p>
      <w:pPr>
        <w:pStyle w:val="ListBullet"/>
      </w:pPr>
      <w:r>
        <w:t>Presentation rebuilt to the brokerage's approved deck (brand, wording, labels, Total row).</w:t>
      </w:r>
    </w:p>
    <w:p>
      <w:pPr>
        <w:pStyle w:val="ListBullet"/>
      </w:pPr>
      <w:r>
        <w:t>Full deployment tier built: authentication, server-side project storage, document retention with real source-page viewing, export downloads, user management CLI.</w:t>
      </w:r>
    </w:p>
    <w:p>
      <w:pPr>
        <w:pStyle w:val="ListBullet"/>
      </w:pPr>
      <w:r>
        <w:t>Robustness fixes from live use: long values can no longer be silently dropped from PDF cells; the declined-to-quote line recognises entity wordings; schedules never create bogus columns and their offers wait for the right insurer's column; expired sessions return to sign-in instead of mislabelling files.</w:t>
      </w:r>
    </w:p>
    <w:p>
      <w:pPr>
        <w:pStyle w:val="ListBullet"/>
      </w:pPr>
      <w:r>
        <w:t>Demo data removed from the production build.</w:t>
      </w:r>
    </w:p>
    <w:p>
      <w:pPr>
        <w:pStyle w:val="ListBullet"/>
      </w:pPr>
      <w:r>
        <w:t>CI fixed and green; Dockerfile and deployment guide added; application deployed to Railway (EU).</w:t>
      </w:r>
    </w:p>
    <w:p>
      <w:pPr>
        <w:pStyle w:val="Heading1"/>
      </w:pPr>
      <w:r>
        <w:t>12. Remaining items (none are unfinished software)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Retention period decision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BRD 2.11 open item; the deletion endpoint already exists</w:t>
            </w:r>
          </w:p>
        </w:tc>
      </w:tr>
      <w:tr>
        <w:tc>
          <w:tcPr>
            <w:tcW w:type="dxa" w:w="2880"/>
          </w:tcPr>
          <w:p>
            <w:r>
              <w:t>Remaining insurer terminology sheets &amp; samples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4 of the standing list received; each new sheet is a config edit</w:t>
            </w:r>
          </w:p>
        </w:tc>
      </w:tr>
      <w:tr>
        <w:tc>
          <w:tcPr>
            <w:tcW w:type="dxa" w:w="2880"/>
          </w:tcPr>
          <w:p>
            <w:r>
              <w:t>Entity-alias sign-off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One page in config/insurers.json</w:t>
            </w:r>
          </w:p>
        </w:tc>
      </w:tr>
      <w:tr>
        <w:tc>
          <w:tcPr>
            <w:tcW w:type="dxa" w:w="2880"/>
          </w:tcPr>
          <w:p>
            <w:r>
              <w:t>Edit-rate logging</w:t>
            </w:r>
          </w:p>
        </w:tc>
        <w:tc>
          <w:tcPr>
            <w:tcW w:type="dxa" w:w="2880"/>
          </w:tcPr>
          <w:p>
            <w:r>
              <w:t>Dev (small)</w:t>
            </w:r>
          </w:p>
        </w:tc>
        <w:tc>
          <w:tcPr>
            <w:tcW w:type="dxa" w:w="2880"/>
          </w:tcPr>
          <w:p>
            <w:r>
              <w:t>For the MVP success measure 'under 10% fields corrected'; pilot target is only 'baseline established'</w:t>
            </w:r>
          </w:p>
        </w:tc>
      </w:tr>
      <w:tr>
        <w:tc>
          <w:tcPr>
            <w:tcW w:type="dxa" w:w="2880"/>
          </w:tcPr>
          <w:p>
            <w:r>
              <w:t>Scanned-PDF OCR in the container</w:t>
            </w:r>
          </w:p>
        </w:tc>
        <w:tc>
          <w:tcPr>
            <w:tcW w:type="dxa" w:w="2880"/>
          </w:tcPr>
          <w:p>
            <w:r>
              <w:t>Dev (optional)</w:t>
            </w:r>
          </w:p>
        </w:tc>
        <w:tc>
          <w:tcPr>
            <w:tcW w:type="dxa" w:w="2880"/>
          </w:tcPr>
          <w:p>
            <w:r>
              <w:t>Azure keys or an INSTALL_OCR image rebuild</w:t>
            </w:r>
          </w:p>
        </w:tc>
      </w:tr>
      <w:tr>
        <w:tc>
          <w:tcPr>
            <w:tcW w:type="dxa" w:w="2880"/>
          </w:tcPr>
          <w:p>
            <w:r>
              <w:t>Open BRD questions</w:t>
            </w:r>
          </w:p>
        </w:tc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Countries covered/exclusions placement; policy-type uniformity; 'declined' vs 'awaiting' on previews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