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Insurance Quote Comparison Tool</w:t>
        <w:br/>
        <w:t>Project Documentation</w:t>
      </w:r>
    </w:p>
    <w:p>
      <w:pPr>
        <w:jc w:val="center"/>
      </w:pPr>
      <w:r>
        <w:rPr>
          <w:sz w:val="22"/>
        </w:rPr>
        <w:t>Pilot build — AI Extraction Module and supporting application</w:t>
        <w:br/>
        <w:t>Prepared: 09 September 2026</w:t>
        <w:br/>
        <w:t>Repository: github.com/msajeeb003/UK-Insurancce (branch: main)</w:t>
        <w:br/>
        <w:t>Specification: BRD v1.2 (“BRD Updated v2.pdf”) and the approved UI wireframe (“Quote Comparison Tool Wireframes.html”)</w:t>
      </w:r>
    </w:p>
    <w:p>
      <w:r>
        <w:br w:type="page"/>
      </w:r>
    </w:p>
    <w:p>
      <w:pPr>
        <w:pStyle w:val="Heading1"/>
      </w:pPr>
      <w:r>
        <w:t>1. Project overview</w:t>
      </w:r>
    </w:p>
    <w:p>
      <w:r>
        <w:rPr>
          <w:b w:val="0"/>
        </w:rPr>
        <w:t>The Insurance Quote Comparison Tool is an internal application for a UK credit insurance brokerage. A broker uploads insurer quotation documents (PDF or Excel), the system extracts the comparison fields with an AI pipeline, the broker reviews and corrects the values on a comparison grid, and the system generates a client-facing presentation (PowerPoint and PDF) plus an editable Excel of buyer credit limits.</w:t>
      </w:r>
    </w:p>
    <w:p>
      <w:r>
        <w:rPr>
          <w:b w:val="0"/>
        </w:rPr>
        <w:t>The assigned Week-1 scope was the backend AI Extraction Module. The delivered pilot goes further: it covers the full BRD workflow Upload → Extraction → Review/Compare → Presentation export, with a frontend that follows the approved wireframe. Deployment-tier items (real login, server-side project storage, hosting) are intentionally out of this build and are listed in section 12.</w:t>
      </w:r>
    </w:p>
    <w:p>
      <w:r>
        <w:rPr>
          <w:b w:val="0"/>
        </w:rPr>
        <w:t>Core design principles enforced throughout (BRD section 4):</w:t>
      </w:r>
    </w:p>
    <w:p>
      <w:pPr>
        <w:pStyle w:val="ListBullet"/>
      </w:pPr>
      <w:r>
        <w:t>Blank, never guessed — a value not present in the document stays empty; the AI is forbidden to infer or use placeholders.</w:t>
      </w:r>
    </w:p>
    <w:p>
      <w:pPr>
        <w:pStyle w:val="ListBullet"/>
      </w:pPr>
      <w:r>
        <w:t>Every value is source-linked to the page it came from.</w:t>
      </w:r>
    </w:p>
    <w:p>
      <w:pPr>
        <w:pStyle w:val="ListBullet"/>
      </w:pPr>
      <w:r>
        <w:t>Every field is editable by the broker; the system never recommends an insurer.</w:t>
      </w:r>
    </w:p>
    <w:p>
      <w:pPr>
        <w:pStyle w:val="ListBullet"/>
      </w:pPr>
      <w:r>
        <w:t>Set beats guessed — Type of policy and Debt collection support are set by broker/rule, never extracted.</w:t>
      </w:r>
    </w:p>
    <w:p>
      <w:pPr>
        <w:pStyle w:val="ListBullet"/>
      </w:pPr>
      <w:r>
        <w:t>Nothing publishes automatically — export is blocked until the four key financial values are confirmed.</w:t>
      </w:r>
    </w:p>
    <w:p>
      <w:pPr>
        <w:pStyle w:val="ListBullet"/>
      </w:pPr>
      <w:r>
        <w:t>Configuration, not code — insurer list and terminology live in JSON files the client can edit without a release.</w:t>
      </w:r>
    </w:p>
    <w:p>
      <w:pPr>
        <w:pStyle w:val="Heading1"/>
      </w:pPr>
      <w:r>
        <w:t>2. Architecture</w:t>
      </w:r>
    </w:p>
    <w:p>
      <w:r>
        <w:rPr>
          <w:b w:val="0"/>
        </w:rPr>
        <w:t>The repository uses a modular architecture with the frontend fully separated from the backend:</w:t>
      </w:r>
    </w:p>
    <w:p>
      <w:pPr>
        <w:pStyle w:val="ListBullet"/>
      </w:pPr>
      <w:r>
        <w:t>backend/ — Python FastAPI service: extraction engines, LLM providers, verification, presentation generation, configuration, tests.</w:t>
      </w:r>
    </w:p>
    <w:p>
      <w:pPr>
        <w:pStyle w:val="ListBullet"/>
      </w:pPr>
      <w:r>
        <w:t>frontend/ — static HTML/CSS/JavaScript single-page app (no framework, no build step) served by the backend.</w:t>
      </w:r>
    </w:p>
    <w:p>
      <w:pPr>
        <w:pStyle w:val="ListBullet"/>
      </w:pPr>
      <w:r>
        <w:t>docs/ — architecture notes (ARCHITECTURE.md) and this document.</w:t>
      </w:r>
    </w:p>
    <w:p>
      <w:r>
        <w:rPr>
          <w:b w:val="0"/>
        </w:rPr>
        <w:t>The backend is organised into five packages, each with one responsibility:</w:t>
      </w:r>
    </w:p>
    <w:tbl>
      <w:tblPr>
        <w:tblStyle w:val="TableGrid"/>
        <w:tblW w:type="auto" w:w="0"/>
        <w:tblLook w:firstColumn="1" w:firstRow="1" w:lastColumn="0" w:lastRow="0" w:noHBand="0" w:noVBand="1" w:val="04A0"/>
      </w:tblPr>
      <w:tblGrid>
        <w:gridCol w:w="4320"/>
        <w:gridCol w:w="4320"/>
      </w:tblGrid>
      <w:tr>
        <w:tc>
          <w:tcPr>
            <w:tcW w:type="dxa" w:w="4320"/>
          </w:tcPr>
          <w:p>
            <w:r>
              <w:rPr>
                <w:b/>
              </w:rPr>
              <w:t>Package</w:t>
            </w:r>
          </w:p>
        </w:tc>
        <w:tc>
          <w:tcPr>
            <w:tcW w:type="dxa" w:w="4320"/>
          </w:tcPr>
          <w:p>
            <w:r>
              <w:rPr>
                <w:b/>
              </w:rPr>
              <w:t>Responsibility</w:t>
            </w:r>
          </w:p>
        </w:tc>
      </w:tr>
      <w:tr>
        <w:tc>
          <w:tcPr>
            <w:tcW w:type="dxa" w:w="4320"/>
          </w:tcPr>
          <w:p>
            <w:r>
              <w:t>app/api</w:t>
            </w:r>
          </w:p>
        </w:tc>
        <w:tc>
          <w:tcPr>
            <w:tcW w:type="dxa" w:w="4320"/>
          </w:tcPr>
          <w:p>
            <w:r>
              <w:t>HTTP endpoints, upload validation, error-to-HTTP mapping</w:t>
            </w:r>
          </w:p>
        </w:tc>
      </w:tr>
      <w:tr>
        <w:tc>
          <w:tcPr>
            <w:tcW w:type="dxa" w:w="4320"/>
          </w:tcPr>
          <w:p>
            <w:r>
              <w:t>app/core</w:t>
            </w:r>
          </w:p>
        </w:tc>
        <w:tc>
          <w:tcPr>
            <w:tcW w:type="dxa" w:w="4320"/>
          </w:tcPr>
          <w:p>
            <w:r>
              <w:t>Settings (.env, pydantic-settings, SecretStr) and the client-safe error hierarchy</w:t>
            </w:r>
          </w:p>
        </w:tc>
      </w:tr>
      <w:tr>
        <w:tc>
          <w:tcPr>
            <w:tcW w:type="dxa" w:w="4320"/>
          </w:tcPr>
          <w:p>
            <w:r>
              <w:t>app/extraction</w:t>
            </w:r>
          </w:p>
        </w:tc>
        <w:tc>
          <w:tcPr>
            <w:tcW w:type="dxa" w:w="4320"/>
          </w:tcPr>
          <w:p>
            <w:r>
              <w:t>Document-to-text engines: PyMuPDF (digital PDF), Azure Document Intelligence / Docling (scanned PDF), openpyxl + xlrd (Excel)</w:t>
            </w:r>
          </w:p>
        </w:tc>
      </w:tr>
      <w:tr>
        <w:tc>
          <w:tcPr>
            <w:tcW w:type="dxa" w:w="4320"/>
          </w:tcPr>
          <w:p>
            <w:r>
              <w:t>app/llm</w:t>
            </w:r>
          </w:p>
        </w:tc>
        <w:tc>
          <w:tcPr>
            <w:tcW w:type="dxa" w:w="4320"/>
          </w:tcPr>
          <w:p>
            <w:r>
              <w:t>The shared extraction prompt, the Claude and OpenAI extractors, and the provider router</w:t>
            </w:r>
          </w:p>
        </w:tc>
      </w:tr>
      <w:tr>
        <w:tc>
          <w:tcPr>
            <w:tcW w:type="dxa" w:w="4320"/>
          </w:tcPr>
          <w:p>
            <w:r>
              <w:t>app/models</w:t>
            </w:r>
          </w:p>
        </w:tc>
        <w:tc>
          <w:tcPr>
            <w:tcW w:type="dxa" w:w="4320"/>
          </w:tcPr>
          <w:p>
            <w:r>
              <w:t>Pydantic v2 schemas: the structured-output contract, API responses, presentation request</w:t>
            </w:r>
          </w:p>
        </w:tc>
      </w:tr>
      <w:tr>
        <w:tc>
          <w:tcPr>
            <w:tcW w:type="dxa" w:w="4320"/>
          </w:tcPr>
          <w:p>
            <w:r>
              <w:t>app/services</w:t>
            </w:r>
          </w:p>
        </w:tc>
        <w:tc>
          <w:tcPr>
            <w:tcW w:type="dxa" w:w="4320"/>
          </w:tcPr>
          <w:p>
            <w:r>
              <w:t>Pipeline orchestration, mapping library, deterministic verification, presentation rendering</w:t>
            </w:r>
          </w:p>
        </w:tc>
      </w:tr>
    </w:tbl>
    <w:p/>
    <w:p>
      <w:r>
        <w:rPr>
          <w:b w:val="0"/>
        </w:rPr>
        <w:t>Request flow for an extraction: the upload is validated and size-capped, routed to the right text engine (digital PDF / scanned PDF / Excel), the text is joined with explicit “=== PAGE n ===” markers, sent to the LLM under a strict structured-output schema, then every returned value is re-checked against the document text by a deterministic verification pass before the response is assembled.</w:t>
      </w:r>
    </w:p>
    <w:p>
      <w:pPr>
        <w:pStyle w:val="Heading1"/>
      </w:pPr>
      <w:r>
        <w:t>3. Technology stack</w:t>
      </w:r>
    </w:p>
    <w:p>
      <w:pPr>
        <w:pStyle w:val="Heading2"/>
      </w:pPr>
      <w:r>
        <w:t>3.1 Backend (Python 3.11)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Version</w:t>
            </w:r>
          </w:p>
        </w:tc>
        <w:tc>
          <w:tcPr>
            <w:tcW w:type="dxa" w:w="2880"/>
          </w:tcPr>
          <w:p>
            <w:r>
              <w:rPr>
                <w:b/>
              </w:rPr>
              <w:t>Used for</w:t>
            </w:r>
          </w:p>
        </w:tc>
      </w:tr>
      <w:tr>
        <w:tc>
          <w:tcPr>
            <w:tcW w:type="dxa" w:w="2880"/>
          </w:tcPr>
          <w:p>
            <w:r>
              <w:t>FastAPI</w:t>
            </w:r>
          </w:p>
        </w:tc>
        <w:tc>
          <w:tcPr>
            <w:tcW w:type="dxa" w:w="2880"/>
          </w:tcPr>
          <w:p>
            <w:r>
              <w:t>0.141.1</w:t>
            </w:r>
          </w:p>
        </w:tc>
        <w:tc>
          <w:tcPr>
            <w:tcW w:type="dxa" w:w="2880"/>
          </w:tcPr>
          <w:p>
            <w:r>
              <w:t>HTTP API framework</w:t>
            </w:r>
          </w:p>
        </w:tc>
      </w:tr>
      <w:tr>
        <w:tc>
          <w:tcPr>
            <w:tcW w:type="dxa" w:w="2880"/>
          </w:tcPr>
          <w:p>
            <w:r>
              <w:t>Uvicorn</w:t>
            </w:r>
          </w:p>
        </w:tc>
        <w:tc>
          <w:tcPr>
            <w:tcW w:type="dxa" w:w="2880"/>
          </w:tcPr>
          <w:p>
            <w:r>
              <w:t>0.52.4</w:t>
            </w:r>
          </w:p>
        </w:tc>
        <w:tc>
          <w:tcPr>
            <w:tcW w:type="dxa" w:w="2880"/>
          </w:tcPr>
          <w:p>
            <w:r>
              <w:t>ASGI server</w:t>
            </w:r>
          </w:p>
        </w:tc>
      </w:tr>
      <w:tr>
        <w:tc>
          <w:tcPr>
            <w:tcW w:type="dxa" w:w="2880"/>
          </w:tcPr>
          <w:p>
            <w:r>
              <w:t>Pydantic</w:t>
            </w:r>
          </w:p>
        </w:tc>
        <w:tc>
          <w:tcPr>
            <w:tcW w:type="dxa" w:w="2880"/>
          </w:tcPr>
          <w:p>
            <w:r>
              <w:t>2.13.5</w:t>
            </w:r>
          </w:p>
        </w:tc>
        <w:tc>
          <w:tcPr>
            <w:tcW w:type="dxa" w:w="2880"/>
          </w:tcPr>
          <w:p>
            <w:r>
              <w:t>Data models and the strict structured-output schema</w:t>
            </w:r>
          </w:p>
        </w:tc>
      </w:tr>
      <w:tr>
        <w:tc>
          <w:tcPr>
            <w:tcW w:type="dxa" w:w="2880"/>
          </w:tcPr>
          <w:p>
            <w:r>
              <w:t>pydantic-settings</w:t>
            </w:r>
          </w:p>
        </w:tc>
        <w:tc>
          <w:tcPr>
            <w:tcW w:type="dxa" w:w="2880"/>
          </w:tcPr>
          <w:p>
            <w:r>
              <w:t>2.15.0</w:t>
            </w:r>
          </w:p>
        </w:tc>
        <w:tc>
          <w:tcPr>
            <w:tcW w:type="dxa" w:w="2880"/>
          </w:tcPr>
          <w:p>
            <w:r>
              <w:t>Typed .env configuration with SecretStr secrets</w:t>
            </w:r>
          </w:p>
        </w:tc>
      </w:tr>
      <w:tr>
        <w:tc>
          <w:tcPr>
            <w:tcW w:type="dxa" w:w="2880"/>
          </w:tcPr>
          <w:p>
            <w:r>
              <w:t>PyMuPDF</w:t>
            </w:r>
          </w:p>
        </w:tc>
        <w:tc>
          <w:tcPr>
            <w:tcW w:type="dxa" w:w="2880"/>
          </w:tcPr>
          <w:p>
            <w:r>
              <w:t>1.28.2</w:t>
            </w:r>
          </w:p>
        </w:tc>
        <w:tc>
          <w:tcPr>
            <w:tcW w:type="dxa" w:w="2880"/>
          </w:tcPr>
          <w:p>
            <w:r>
              <w:t>Digital PDF text extraction; also renders the PDF export</w:t>
            </w:r>
          </w:p>
        </w:tc>
      </w:tr>
      <w:tr>
        <w:tc>
          <w:tcPr>
            <w:tcW w:type="dxa" w:w="2880"/>
          </w:tcPr>
          <w:p>
            <w:r>
              <w:t>Docling (IBM)</w:t>
            </w:r>
          </w:p>
        </w:tc>
        <w:tc>
          <w:tcPr>
            <w:tcW w:type="dxa" w:w="2880"/>
          </w:tcPr>
          <w:p>
            <w:r>
              <w:t>2.126.0</w:t>
            </w:r>
          </w:p>
        </w:tc>
        <w:tc>
          <w:tcPr>
            <w:tcW w:type="dxa" w:w="2880"/>
          </w:tcPr>
          <w:p>
            <w:r>
              <w:t>Open-source OCR for scanned PDFs (RapidOCR engine; optional install)</w:t>
            </w:r>
          </w:p>
        </w:tc>
      </w:tr>
      <w:tr>
        <w:tc>
          <w:tcPr>
            <w:tcW w:type="dxa" w:w="2880"/>
          </w:tcPr>
          <w:p>
            <w:r>
              <w:t>azure-ai-documentintelligence</w:t>
            </w:r>
          </w:p>
        </w:tc>
        <w:tc>
          <w:tcPr>
            <w:tcW w:type="dxa" w:w="2880"/>
          </w:tcPr>
          <w:p>
            <w:r>
              <w:t>1.0.2</w:t>
            </w:r>
          </w:p>
        </w:tc>
        <w:tc>
          <w:tcPr>
            <w:tcW w:type="dxa" w:w="2880"/>
          </w:tcPr>
          <w:p>
            <w:r>
              <w:t>Cloud OCR for scanned PDFs; used automatically when keys are configured</w:t>
            </w:r>
          </w:p>
        </w:tc>
      </w:tr>
      <w:tr>
        <w:tc>
          <w:tcPr>
            <w:tcW w:type="dxa" w:w="2880"/>
          </w:tcPr>
          <w:p>
            <w:r>
              <w:t>anthropic</w:t>
            </w:r>
          </w:p>
        </w:tc>
        <w:tc>
          <w:tcPr>
            <w:tcW w:type="dxa" w:w="2880"/>
          </w:tcPr>
          <w:p>
            <w:r>
              <w:t>1.4.0</w:t>
            </w:r>
          </w:p>
        </w:tc>
        <w:tc>
          <w:tcPr>
            <w:tcW w:type="dxa" w:w="2880"/>
          </w:tcPr>
          <w:p>
            <w:r>
              <w:t>Claude structured extraction (default provider, model claude-haiku-4-5)</w:t>
            </w:r>
          </w:p>
        </w:tc>
      </w:tr>
      <w:tr>
        <w:tc>
          <w:tcPr>
            <w:tcW w:type="dxa" w:w="2880"/>
          </w:tcPr>
          <w:p>
            <w:r>
              <w:t>openai</w:t>
            </w:r>
          </w:p>
        </w:tc>
        <w:tc>
          <w:tcPr>
            <w:tcW w:type="dxa" w:w="2880"/>
          </w:tcPr>
          <w:p>
            <w:r>
              <w:t>3.8.0</w:t>
            </w:r>
          </w:p>
        </w:tc>
        <w:tc>
          <w:tcPr>
            <w:tcW w:type="dxa" w:w="2880"/>
          </w:tcPr>
          <w:p>
            <w:r>
              <w:t>OpenAI Responses API extraction (alternative provider)</w:t>
            </w:r>
          </w:p>
        </w:tc>
      </w:tr>
      <w:tr>
        <w:tc>
          <w:tcPr>
            <w:tcW w:type="dxa" w:w="2880"/>
          </w:tcPr>
          <w:p>
            <w:r>
              <w:t>openpyxl</w:t>
            </w:r>
          </w:p>
        </w:tc>
        <w:tc>
          <w:tcPr>
            <w:tcW w:type="dxa" w:w="2880"/>
          </w:tcPr>
          <w:p>
            <w:r>
              <w:t>3.1.5</w:t>
            </w:r>
          </w:p>
        </w:tc>
        <w:tc>
          <w:tcPr>
            <w:tcW w:type="dxa" w:w="2880"/>
          </w:tcPr>
          <w:p>
            <w:r>
              <w:t>.xlsx reading and the credit-limits Excel export</w:t>
            </w:r>
          </w:p>
        </w:tc>
      </w:tr>
      <w:tr>
        <w:tc>
          <w:tcPr>
            <w:tcW w:type="dxa" w:w="2880"/>
          </w:tcPr>
          <w:p>
            <w:r>
              <w:t>xlrd</w:t>
            </w:r>
          </w:p>
        </w:tc>
        <w:tc>
          <w:tcPr>
            <w:tcW w:type="dxa" w:w="2880"/>
          </w:tcPr>
          <w:p>
            <w:r>
              <w:t>2.0.2</w:t>
            </w:r>
          </w:p>
        </w:tc>
        <w:tc>
          <w:tcPr>
            <w:tcW w:type="dxa" w:w="2880"/>
          </w:tcPr>
          <w:p>
            <w:r>
              <w:t>Legacy .xls credit-limit schedules</w:t>
            </w:r>
          </w:p>
        </w:tc>
      </w:tr>
      <w:tr>
        <w:tc>
          <w:tcPr>
            <w:tcW w:type="dxa" w:w="2880"/>
          </w:tcPr>
          <w:p>
            <w:r>
              <w:t>python-pptx</w:t>
            </w:r>
          </w:p>
        </w:tc>
        <w:tc>
          <w:tcPr>
            <w:tcW w:type="dxa" w:w="2880"/>
          </w:tcPr>
          <w:p>
            <w:r>
              <w:t>1.0.2</w:t>
            </w:r>
          </w:p>
        </w:tc>
        <w:tc>
          <w:tcPr>
            <w:tcW w:type="dxa" w:w="2880"/>
          </w:tcPr>
          <w:p>
            <w:r>
              <w:t>PowerPoint presentation generation (Google Slides compatible)</w:t>
            </w:r>
          </w:p>
        </w:tc>
      </w:tr>
      <w:tr>
        <w:tc>
          <w:tcPr>
            <w:tcW w:type="dxa" w:w="2880"/>
          </w:tcPr>
          <w:p>
            <w:r>
              <w:t>python-multipart</w:t>
            </w:r>
          </w:p>
        </w:tc>
        <w:tc>
          <w:tcPr>
            <w:tcW w:type="dxa" w:w="2880"/>
          </w:tcPr>
          <w:p>
            <w:r>
              <w:t>0.0.32</w:t>
            </w:r>
          </w:p>
        </w:tc>
        <w:tc>
          <w:tcPr>
            <w:tcW w:type="dxa" w:w="2880"/>
          </w:tcPr>
          <w:p>
            <w:r>
              <w:t>Multipart file uploads</w:t>
            </w:r>
          </w:p>
        </w:tc>
      </w:tr>
      <w:tr>
        <w:tc>
          <w:tcPr>
            <w:tcW w:type="dxa" w:w="2880"/>
          </w:tcPr>
          <w:p>
            <w:r>
              <w:t>python-dotenv</w:t>
            </w:r>
          </w:p>
        </w:tc>
        <w:tc>
          <w:tcPr>
            <w:tcW w:type="dxa" w:w="2880"/>
          </w:tcPr>
          <w:p>
            <w:r>
              <w:t>1.2.3</w:t>
            </w:r>
          </w:p>
        </w:tc>
        <w:tc>
          <w:tcPr>
            <w:tcW w:type="dxa" w:w="2880"/>
          </w:tcPr>
          <w:p>
            <w:r>
              <w:t>.env loading</w:t>
            </w:r>
          </w:p>
        </w:tc>
      </w:tr>
    </w:tbl>
    <w:p/>
    <w:p>
      <w:pPr>
        <w:pStyle w:val="Heading2"/>
      </w:pPr>
      <w:r>
        <w:t>3.2 Frontend</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Used for</w:t>
            </w:r>
          </w:p>
        </w:tc>
      </w:tr>
      <w:tr>
        <w:tc>
          <w:tcPr>
            <w:tcW w:type="dxa" w:w="4320"/>
          </w:tcPr>
          <w:p>
            <w:r>
              <w:t>HTML5 + CSS3 (single stylesheet)</w:t>
            </w:r>
          </w:p>
        </w:tc>
        <w:tc>
          <w:tcPr>
            <w:tcW w:type="dxa" w:w="4320"/>
          </w:tcPr>
          <w:p>
            <w:r>
              <w:t>Layout and theme, tokens taken from the approved wireframe</w:t>
            </w:r>
          </w:p>
        </w:tc>
      </w:tr>
      <w:tr>
        <w:tc>
          <w:tcPr>
            <w:tcW w:type="dxa" w:w="4320"/>
          </w:tcPr>
          <w:p>
            <w:r>
              <w:t>Vanilla JavaScript (ES modules)</w:t>
            </w:r>
          </w:p>
        </w:tc>
        <w:tc>
          <w:tcPr>
            <w:tcW w:type="dxa" w:w="4320"/>
          </w:tcPr>
          <w:p>
            <w:r>
              <w:t>All behaviour — no framework, no build step, no external dependency</w:t>
            </w:r>
          </w:p>
        </w:tc>
      </w:tr>
      <w:tr>
        <w:tc>
          <w:tcPr>
            <w:tcW w:type="dxa" w:w="4320"/>
          </w:tcPr>
          <w:p>
            <w:r>
              <w:t>Fetch API</w:t>
            </w:r>
          </w:p>
        </w:tc>
        <w:tc>
          <w:tcPr>
            <w:tcW w:type="dxa" w:w="4320"/>
          </w:tcPr>
          <w:p>
            <w:r>
              <w:t>Calls to the backend (/extract-quote, /generate-presentation, /insurers)</w:t>
            </w:r>
          </w:p>
        </w:tc>
      </w:tr>
    </w:tbl>
    <w:p/>
    <w:p>
      <w:r>
        <w:rPr>
          <w:b w:val="0"/>
        </w:rPr>
        <w:t>Frontend modules (about 1,160 lines of JavaScript in total): constants.js (field list and screen constants), state.js (single in-memory application state), views.js (screen renderers), api.js (backend calls, upload de-duplication, downloads), demo.js (sample data loader), main.js (routing and event delegation).</w:t>
      </w:r>
    </w:p>
    <w:p>
      <w:pPr>
        <w:pStyle w:val="Heading2"/>
      </w:pPr>
      <w:r>
        <w:t>3.3 Development and quality tooling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Version</w:t>
            </w:r>
          </w:p>
        </w:tc>
        <w:tc>
          <w:tcPr>
            <w:tcW w:type="dxa" w:w="2880"/>
          </w:tcPr>
          <w:p>
            <w:r>
              <w:rPr>
                <w:b/>
              </w:rPr>
              <w:t>Used for</w:t>
            </w:r>
          </w:p>
        </w:tc>
      </w:tr>
      <w:tr>
        <w:tc>
          <w:tcPr>
            <w:tcW w:type="dxa" w:w="2880"/>
          </w:tcPr>
          <w:p>
            <w:r>
              <w:t>pytest</w:t>
            </w:r>
          </w:p>
        </w:tc>
        <w:tc>
          <w:tcPr>
            <w:tcW w:type="dxa" w:w="2880"/>
          </w:tcPr>
          <w:p>
            <w:r>
              <w:t>8.3.4</w:t>
            </w:r>
          </w:p>
        </w:tc>
        <w:tc>
          <w:tcPr>
            <w:tcW w:type="dxa" w:w="2880"/>
          </w:tcPr>
          <w:p>
            <w:r>
              <w:t>Test suite (73 tests)</w:t>
            </w:r>
          </w:p>
        </w:tc>
      </w:tr>
      <w:tr>
        <w:tc>
          <w:tcPr>
            <w:tcW w:type="dxa" w:w="2880"/>
          </w:tcPr>
          <w:p>
            <w:r>
              <w:t>httpx</w:t>
            </w:r>
          </w:p>
        </w:tc>
        <w:tc>
          <w:tcPr>
            <w:tcW w:type="dxa" w:w="2880"/>
          </w:tcPr>
          <w:p>
            <w:r>
              <w:t>0.28.1</w:t>
            </w:r>
          </w:p>
        </w:tc>
        <w:tc>
          <w:tcPr>
            <w:tcW w:type="dxa" w:w="2880"/>
          </w:tcPr>
          <w:p>
            <w:r>
              <w:t>API tests through the FastAPI test client</w:t>
            </w:r>
          </w:p>
        </w:tc>
      </w:tr>
      <w:tr>
        <w:tc>
          <w:tcPr>
            <w:tcW w:type="dxa" w:w="2880"/>
          </w:tcPr>
          <w:p>
            <w:r>
              <w:t>Ruff</w:t>
            </w:r>
          </w:p>
        </w:tc>
        <w:tc>
          <w:tcPr>
            <w:tcW w:type="dxa" w:w="2880"/>
          </w:tcPr>
          <w:p>
            <w:r>
              <w:t>0.9.4</w:t>
            </w:r>
          </w:p>
        </w:tc>
        <w:tc>
          <w:tcPr>
            <w:tcW w:type="dxa" w:w="2880"/>
          </w:tcPr>
          <w:p>
            <w:r>
              <w:t>Linting (currently clean)</w:t>
            </w:r>
          </w:p>
        </w:tc>
      </w:tr>
      <w:tr>
        <w:tc>
          <w:tcPr>
            <w:tcW w:type="dxa" w:w="2880"/>
          </w:tcPr>
          <w:p>
            <w:r>
              <w:t>xlwt</w:t>
            </w:r>
          </w:p>
        </w:tc>
        <w:tc>
          <w:tcPr>
            <w:tcW w:type="dxa" w:w="2880"/>
          </w:tcPr>
          <w:p>
            <w:r>
              <w:t>1.3.0</w:t>
            </w:r>
          </w:p>
        </w:tc>
        <w:tc>
          <w:tcPr>
            <w:tcW w:type="dxa" w:w="2880"/>
          </w:tcPr>
          <w:p>
            <w:r>
              <w:t>Writes legacy .xls fixtures inside tests</w:t>
            </w:r>
          </w:p>
        </w:tc>
      </w:tr>
    </w:tbl>
    <w:p/>
    <w:p>
      <w:pPr>
        <w:pStyle w:val="Heading1"/>
      </w:pPr>
      <w:r>
        <w:t>4. Repository structure</w:t>
      </w:r>
    </w:p>
    <w:p>
      <w:r>
        <w:rPr>
          <w:b w:val="0"/>
        </w:rPr>
        <w:t>backend/app — 2,675 lines of application Python; backend/tests — 1,081 lines of test Python; frontend — about 1,400 lines of HTML/CSS/JS.</w:t>
      </w:r>
    </w:p>
    <w:p>
      <w:pPr>
        <w:pStyle w:val="NoSpacing"/>
      </w:pPr>
      <w:r>
        <w:rPr>
          <w:rFonts w:ascii="Consolas" w:hAnsi="Consolas"/>
          <w:b w:val="0"/>
          <w:sz w:val="18"/>
        </w:rPr>
        <w:t>backend/</w:t>
        <w:br/>
        <w:t xml:space="preserve">  app/</w:t>
        <w:br/>
        <w:t xml:space="preserve">    main.py                 FastAPI app, security headers, rate limiting, static serving</w:t>
        <w:br/>
        <w:t xml:space="preserve">    api/routes.py           /health, /insurers, /extract-quote, /generate-presentation</w:t>
        <w:br/>
        <w:t xml:space="preserve">    core/config.py          Settings (.env at repository root)</w:t>
        <w:br/>
        <w:t xml:space="preserve">    core/errors.py          Client-safe PipelineError hierarchy -&gt; HTTP statuses</w:t>
        <w:br/>
        <w:t xml:space="preserve">    extraction/detector.py  Digital-vs-scanned PDF detection</w:t>
        <w:br/>
        <w:t xml:space="preserve">    extraction/pymupdf_extractor.py   Digital PDF text</w:t>
        <w:br/>
        <w:t xml:space="preserve">    extraction/azure_extractor.py     Azure Document Intelligence OCR</w:t>
        <w:br/>
        <w:t xml:space="preserve">    extraction/docling_extractor.py   Open-source OCR fallback</w:t>
        <w:br/>
        <w:t xml:space="preserve">    extraction/excel_extractor.py     .xlsx and legacy .xls schedules</w:t>
        <w:br/>
        <w:t xml:space="preserve">    extraction/base.py      Page model, text cleaning, page tagging</w:t>
        <w:br/>
        <w:t xml:space="preserve">    llm/prompt.py           The shared extraction prompt (one contract for every provider)</w:t>
        <w:br/>
        <w:t xml:space="preserve">    llm/anthropic_extractor.py        Claude structured extraction</w:t>
        <w:br/>
        <w:t xml:space="preserve">    llm/openai_extractor.py           OpenAI structured extraction</w:t>
        <w:br/>
        <w:t xml:space="preserve">    llm/router.py           Provider selection (auto / anthropic / openai)</w:t>
        <w:br/>
        <w:t xml:space="preserve">    models/schemas.py       Extraction schema, review summary, API response</w:t>
        <w:br/>
        <w:t xml:space="preserve">    models/presentation.py  Presentation request models and the 16-row list</w:t>
        <w:br/>
        <w:t xml:space="preserve">    services/pipeline.py    Orchestration of the whole extraction flow</w:t>
        <w:br/>
        <w:t xml:space="preserve">    services/library.py     insurers.json + terminology.json loading (hot reload)</w:t>
        <w:br/>
        <w:t xml:space="preserve">    services/verification.py          Deterministic anti-hallucination check</w:t>
        <w:br/>
        <w:t xml:space="preserve">    services/presentation.py          PPTX + PDF + credit-limits XLSX rendering</w:t>
        <w:br/>
        <w:t xml:space="preserve">  config/</w:t>
        <w:br/>
        <w:t xml:space="preserve">    insurers.json           Standing insurer list, aliases, debt-collection rule</w:t>
        <w:br/>
        <w:t xml:space="preserve">    terminology.json        Field -&gt; insurer wordings mapping library</w:t>
        <w:br/>
        <w:t xml:space="preserve">  tests/                    11 test files, 73 tests</w:t>
        <w:br/>
        <w:t>frontend/</w:t>
        <w:br/>
        <w:t xml:space="preserve">  index.html, css/styles.css, js/ (6 ES modules)</w:t>
        <w:br/>
        <w:t>docs/</w:t>
        <w:br/>
        <w:t xml:space="preserve">  ARCHITECTURE.md           Pipeline diagram and design notes</w:t>
      </w:r>
    </w:p>
    <w:p/>
    <w:p>
      <w:pPr>
        <w:pStyle w:val="Heading1"/>
      </w:pPr>
      <w:r>
        <w:t>5. The AI extraction pipeline in detail</w:t>
      </w:r>
    </w:p>
    <w:p>
      <w:r>
        <w:rPr>
          <w:b w:val="0"/>
        </w:rPr>
        <w:t>POST /extract-quote accepts one document (PDF, .xlsx or legacy .xls, up to 25 MB / 60 pages) and returns structured JSON. The steps:</w:t>
      </w:r>
    </w:p>
    <w:tbl>
      <w:tblPr>
        <w:tblStyle w:val="TableGrid"/>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happens</w:t>
            </w:r>
          </w:p>
        </w:tc>
      </w:tr>
      <w:tr>
        <w:tc>
          <w:tcPr>
            <w:tcW w:type="dxa" w:w="4320"/>
          </w:tcPr>
          <w:p>
            <w:r>
              <w:t>1. Validation</w:t>
            </w:r>
          </w:p>
        </w:tc>
        <w:tc>
          <w:tcPr>
            <w:tcW w:type="dxa" w:w="4320"/>
          </w:tcPr>
          <w:p>
            <w:r>
              <w:t>File type resolved by extension, declared content type and magic bytes; size read in capped chunks (413 over limit, 415 unsupported, 400 empty).</w:t>
            </w:r>
          </w:p>
        </w:tc>
      </w:tr>
      <w:tr>
        <w:tc>
          <w:tcPr>
            <w:tcW w:type="dxa" w:w="4320"/>
          </w:tcPr>
          <w:p>
            <w:r>
              <w:t>2. Engine routing</w:t>
            </w:r>
          </w:p>
        </w:tc>
        <w:tc>
          <w:tcPr>
            <w:tcW w:type="dxa" w:w="4320"/>
          </w:tcPr>
          <w:p>
            <w:r>
              <w:t>PDFs are probed with PyMuPDF: pages with almost no text layer mark the file as scanned. Digital PDFs -&gt; PyMuPDF. Scanned PDFs -&gt; Azure Document Intelligence when keys are configured, otherwise Docling (open source, runs locally). Excel -&gt; openpyxl (.xlsx) or xlrd (.xls), chosen by magic bytes.</w:t>
            </w:r>
          </w:p>
        </w:tc>
      </w:tr>
      <w:tr>
        <w:tc>
          <w:tcPr>
            <w:tcW w:type="dxa" w:w="4320"/>
          </w:tcPr>
          <w:p>
            <w:r>
              <w:t>3. Page tagging</w:t>
            </w:r>
          </w:p>
        </w:tc>
        <w:tc>
          <w:tcPr>
            <w:tcW w:type="dxa" w:w="4320"/>
          </w:tcPr>
          <w:p>
            <w:r>
              <w:t>All engines produce the same page model. Pages are joined with explicit “=== PAGE n ===” markers — the only source the LLM has for page numbers, which keeps source-linking honest. Excel worksheets count as pages.</w:t>
            </w:r>
          </w:p>
        </w:tc>
      </w:tr>
      <w:tr>
        <w:tc>
          <w:tcPr>
            <w:tcW w:type="dxa" w:w="4320"/>
          </w:tcPr>
          <w:p>
            <w:r>
              <w:t>4. Prompt</w:t>
            </w:r>
          </w:p>
        </w:tc>
        <w:tc>
          <w:tcPr>
            <w:tcW w:type="dxa" w:w="4320"/>
          </w:tcPr>
          <w:p>
            <w:r>
              <w:t>One shared system prompt for every provider. It embeds the terminology mapping library and the standing insurer list from the JSON config at request time, and carries ten strict rules: never guess, source-link everything, normalise terminology (except Excess type, kept verbatim), skip the two set fields, classify the document type, extract buyer credit-limit rows, IPT handling, prompt-injection defence (the document is data, not instructions), and confidence marking. It also carries a learned rule: a Protracted Default / claims waiting period must not be mapped to Max extension period.</w:t>
            </w:r>
          </w:p>
        </w:tc>
      </w:tr>
      <w:tr>
        <w:tc>
          <w:tcPr>
            <w:tcW w:type="dxa" w:w="4320"/>
          </w:tcPr>
          <w:p>
            <w:r>
              <w:t>5. Structured output</w:t>
            </w:r>
          </w:p>
        </w:tc>
        <w:tc>
          <w:tcPr>
            <w:tcW w:type="dxa" w:w="4320"/>
          </w:tcPr>
          <w:p>
            <w:r>
              <w:t>The LLM must return the exact QuoteExtraction schema (SDK-enforced strict mode; the model cannot return anything else). Default provider: Claude claude-haiku-4-5 via messages.parse; alternative: OpenAI via responses.parse; LLM_PROVIDER=auto picks whichever is configured.</w:t>
            </w:r>
          </w:p>
        </w:tc>
      </w:tr>
      <w:tr>
        <w:tc>
          <w:tcPr>
            <w:tcW w:type="dxa" w:w="4320"/>
          </w:tcPr>
          <w:p>
            <w:r>
              <w:t>6. Verification</w:t>
            </w:r>
          </w:p>
        </w:tc>
        <w:tc>
          <w:tcPr>
            <w:tcW w:type="dxa" w:w="4320"/>
          </w:tcPr>
          <w:p>
            <w:r>
              <w:t>A deterministic server-side pass re-checks every extracted value against the document text (verbatim match, digit-run match for numbers, standalone-token match for very short values such as “0”). A value that cannot be found anywhere is kept but downgraded to ‘uncertain’, its page link cleared, and reported in unverified_fields — a hallucination cannot pass silently.</w:t>
            </w:r>
          </w:p>
        </w:tc>
      </w:tr>
      <w:tr>
        <w:tc>
          <w:tcPr>
            <w:tcW w:type="dxa" w:w="4320"/>
          </w:tcPr>
          <w:p>
            <w:r>
              <w:t>7. Rule-set fields</w:t>
            </w:r>
          </w:p>
        </w:tc>
        <w:tc>
          <w:tcPr>
            <w:tcW w:type="dxa" w:w="4320"/>
          </w:tcPr>
          <w:p>
            <w:r>
              <w:t>Debt collection support is set from insurers.json (Allianz Trade / Atradius / Coface -&gt; Included, all others -&gt; Outsourced), matched through document-wording aliases. Type of policy is broker-selected in the UI.</w:t>
            </w:r>
          </w:p>
        </w:tc>
      </w:tr>
      <w:tr>
        <w:tc>
          <w:tcPr>
            <w:tcW w:type="dxa" w:w="4320"/>
          </w:tcPr>
          <w:p>
            <w:r>
              <w:t>8. Review summary</w:t>
            </w:r>
          </w:p>
        </w:tc>
        <w:tc>
          <w:tcPr>
            <w:tcW w:type="dxa" w:w="4320"/>
          </w:tcPr>
          <w:p>
            <w:r>
              <w:t>The server (never the LLM) computes missing_fields, uncertain_fields, unverified_fields and the confirm-required list, so the UI highlights and the export gate rest on deterministic data.</w:t>
            </w:r>
          </w:p>
        </w:tc>
      </w:tr>
    </w:tbl>
    <w:p/>
    <w:p>
      <w:pPr>
        <w:pStyle w:val="Heading2"/>
      </w:pPr>
      <w:r>
        <w:t>5.1 The 16 extracted / set comparison fields (BRD 2.3)</w:t>
      </w:r>
    </w:p>
    <w:p>
      <w:r>
        <w:rPr>
          <w:b w:val="0"/>
        </w:rPr>
        <w:t>Insurer, Type of policy (set), Annual turnover, Premium rate, Estimated annual premium (exc IPT), Minimum annual premium, Credit limit charges, Debt collection support (set), Indemnity, Excess, Excess type (kept in the insurer's original wording), Max annual liability, Discretionary limit, Max terms of payment, Max extension period, Additional info (free format). In addition the pipeline extracts every buyer credit-limit row (buyer name, company number, limit required, limit offered, page) whether the schedule is a standalone document or an addendum inside a quote.</w:t>
      </w:r>
    </w:p>
    <w:p>
      <w:pPr>
        <w:pStyle w:val="Heading1"/>
      </w:pPr>
      <w:r>
        <w:t>6. Configuration (no code changes needed)</w:t>
      </w:r>
    </w:p>
    <w:tbl>
      <w:tblPr>
        <w:tblStyle w:val="TableGrid"/>
        <w:tblW w:type="auto" w:w="0"/>
        <w:tblLook w:firstColumn="1" w:firstRow="1" w:lastColumn="0" w:lastRow="0" w:noHBand="0" w:noVBand="1" w:val="04A0"/>
      </w:tblPr>
      <w:tblGrid>
        <w:gridCol w:w="4320"/>
        <w:gridCol w:w="4320"/>
      </w:tblGrid>
      <w:tr>
        <w:tc>
          <w:tcPr>
            <w:tcW w:type="dxa" w:w="4320"/>
          </w:tcPr>
          <w:p>
            <w:r>
              <w:rPr>
                <w:b/>
              </w:rPr>
              <w:t>File / variable</w:t>
            </w:r>
          </w:p>
        </w:tc>
        <w:tc>
          <w:tcPr>
            <w:tcW w:type="dxa" w:w="4320"/>
          </w:tcPr>
          <w:p>
            <w:r>
              <w:rPr>
                <w:b/>
              </w:rPr>
              <w:t>Purpose</w:t>
            </w:r>
          </w:p>
        </w:tc>
      </w:tr>
      <w:tr>
        <w:tc>
          <w:tcPr>
            <w:tcW w:type="dxa" w:w="4320"/>
          </w:tcPr>
          <w:p>
            <w:r>
              <w:t>backend/config/terminology.json</w:t>
            </w:r>
          </w:p>
        </w:tc>
        <w:tc>
          <w:tcPr>
            <w:tcW w:type="dxa" w:w="4320"/>
          </w:tcPr>
          <w:p>
            <w:r>
              <w:t>The BRD 2.3 mapping library: field -&gt; insurer wordings. Hot-reloaded on change; extending it never touches code.</w:t>
            </w:r>
          </w:p>
        </w:tc>
      </w:tr>
      <w:tr>
        <w:tc>
          <w:tcPr>
            <w:tcW w:type="dxa" w:w="4320"/>
          </w:tcPr>
          <w:p>
            <w:r>
              <w:t>backend/config/insurers.json</w:t>
            </w:r>
          </w:p>
        </w:tc>
        <w:tc>
          <w:tcPr>
            <w:tcW w:type="dxa" w:w="4320"/>
          </w:tcPr>
          <w:p>
            <w:r>
              <w:t>Standing insurer list with aliases and the debt-collection rule. Hot-reloaded.</w:t>
            </w:r>
          </w:p>
        </w:tc>
      </w:tr>
      <w:tr>
        <w:tc>
          <w:tcPr>
            <w:tcW w:type="dxa" w:w="4320"/>
          </w:tcPr>
          <w:p>
            <w:r>
              <w:t>.env (repository root)</w:t>
            </w:r>
          </w:p>
        </w:tc>
        <w:tc>
          <w:tcPr>
            <w:tcW w:type="dxa" w:w="4320"/>
          </w:tcPr>
          <w:p>
            <w:r>
              <w:t>Secrets and tuning: ANTHROPIC_API_KEY, OPENAI_API_KEY, AZURE_DI_ENDPOINT/KEY, LLM_PROVIDER (auto/anthropic/openai), model names, upload/page limits.</w:t>
            </w:r>
          </w:p>
        </w:tc>
      </w:tr>
    </w:tbl>
    <w:p/>
    <w:p>
      <w:r>
        <w:rPr>
          <w:b w:val="0"/>
        </w:rPr>
        <w:t>GET /health reports which providers and OCR engines are configured without exposing any secret.</w:t>
      </w:r>
    </w:p>
    <w:p>
      <w:pPr>
        <w:pStyle w:val="Heading1"/>
      </w:pPr>
      <w:r>
        <w:t>7. API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Method</w:t>
            </w:r>
          </w:p>
        </w:tc>
        <w:tc>
          <w:tcPr>
            <w:tcW w:type="dxa" w:w="2880"/>
          </w:tcPr>
          <w:p>
            <w:r>
              <w:rPr>
                <w:b/>
              </w:rPr>
              <w:t>Purpose</w:t>
            </w:r>
          </w:p>
        </w:tc>
      </w:tr>
      <w:tr>
        <w:tc>
          <w:tcPr>
            <w:tcW w:type="dxa" w:w="2880"/>
          </w:tcPr>
          <w:p>
            <w:r>
              <w:t>/health</w:t>
            </w:r>
          </w:p>
        </w:tc>
        <w:tc>
          <w:tcPr>
            <w:tcW w:type="dxa" w:w="2880"/>
          </w:tcPr>
          <w:p>
            <w:r>
              <w:t>GET</w:t>
            </w:r>
          </w:p>
        </w:tc>
        <w:tc>
          <w:tcPr>
            <w:tcW w:type="dxa" w:w="2880"/>
          </w:tcPr>
          <w:p>
            <w:r>
              <w:t>Liveness and configuration sanity (active LLM, OCR availability)</w:t>
            </w:r>
          </w:p>
        </w:tc>
      </w:tr>
      <w:tr>
        <w:tc>
          <w:tcPr>
            <w:tcW w:type="dxa" w:w="2880"/>
          </w:tcPr>
          <w:p>
            <w:r>
              <w:t>/insurers</w:t>
            </w:r>
          </w:p>
        </w:tc>
        <w:tc>
          <w:tcPr>
            <w:tcW w:type="dxa" w:w="2880"/>
          </w:tcPr>
          <w:p>
            <w:r>
              <w:t>GET</w:t>
            </w:r>
          </w:p>
        </w:tc>
        <w:tc>
          <w:tcPr>
            <w:tcW w:type="dxa" w:w="2880"/>
          </w:tcPr>
          <w:p>
            <w:r>
              <w:t>The standing insurer list and debt rule for the UI</w:t>
            </w:r>
          </w:p>
        </w:tc>
      </w:tr>
      <w:tr>
        <w:tc>
          <w:tcPr>
            <w:tcW w:type="dxa" w:w="2880"/>
          </w:tcPr>
          <w:p>
            <w:r>
              <w:t>/extract-quote</w:t>
            </w:r>
          </w:p>
        </w:tc>
        <w:tc>
          <w:tcPr>
            <w:tcW w:type="dxa" w:w="2880"/>
          </w:tcPr>
          <w:p>
            <w:r>
              <w:t>POST</w:t>
            </w:r>
          </w:p>
        </w:tc>
        <w:tc>
          <w:tcPr>
            <w:tcW w:type="dxa" w:w="2880"/>
          </w:tcPr>
          <w:p>
            <w:r>
              <w:t>Upload one document; returns meta, review summary, set fields and the full extraction with page links and confidence flags. Optional ?engine= override (auto/digital/azure/docling).</w:t>
            </w:r>
          </w:p>
        </w:tc>
      </w:tr>
      <w:tr>
        <w:tc>
          <w:tcPr>
            <w:tcW w:type="dxa" w:w="2880"/>
          </w:tcPr>
          <w:p>
            <w:r>
              <w:t>/generate-presentation</w:t>
            </w:r>
          </w:p>
        </w:tc>
        <w:tc>
          <w:tcPr>
            <w:tcW w:type="dxa" w:w="2880"/>
          </w:tcPr>
          <w:p>
            <w:r>
              <w:t>POST</w:t>
            </w:r>
          </w:p>
        </w:tc>
        <w:tc>
          <w:tcPr>
            <w:tcW w:type="dxa" w:w="2880"/>
          </w:tcPr>
          <w:p>
            <w:r>
              <w:t>Render the reviewed project as ?format=pptx (editable PowerPoint), pdf, or limits-xlsx (buyer credit-limit Excel). Returns 409 until the four BRD 2.5 values are confirmed.</w:t>
            </w:r>
          </w:p>
        </w:tc>
      </w:tr>
    </w:tbl>
    <w:p/>
    <w:p>
      <w:r>
        <w:rPr>
          <w:b w:val="0"/>
        </w:rPr>
        <w:t>Security measures on the API: per-IP rate limiting, strict Content Security Policy and security headers, capped upload size read in chunks, client-safe error messages (internals only in server logs), secrets held as SecretStr, prompt-injection fencing around document text, and the export gate enforced server-side so no client can bypass it.</w:t>
      </w:r>
    </w:p>
    <w:p>
      <w:pPr>
        <w:pStyle w:val="Heading1"/>
      </w:pPr>
      <w:r>
        <w:t>8. Frontend screens (wireframe + BRD section 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Screen</w:t>
            </w:r>
          </w:p>
        </w:tc>
        <w:tc>
          <w:tcPr>
            <w:tcW w:type="dxa" w:w="2880"/>
          </w:tcPr>
          <w:p>
            <w:r>
              <w:rPr>
                <w:b/>
              </w:rPr>
              <w:t>Status</w:t>
            </w:r>
          </w:p>
        </w:tc>
        <w:tc>
          <w:tcPr>
            <w:tcW w:type="dxa" w:w="2880"/>
          </w:tcPr>
          <w:p>
            <w:r>
              <w:rPr>
                <w:b/>
              </w:rPr>
              <w:t>Notes</w:t>
            </w:r>
          </w:p>
        </w:tc>
      </w:tr>
      <w:tr>
        <w:tc>
          <w:tcPr>
            <w:tcW w:type="dxa" w:w="2880"/>
          </w:tcPr>
          <w:p>
            <w:r>
              <w:t>S1 Login</w:t>
            </w:r>
          </w:p>
        </w:tc>
        <w:tc>
          <w:tcPr>
            <w:tcW w:type="dxa" w:w="2880"/>
          </w:tcPr>
          <w:p>
            <w:r>
              <w:t>Stub</w:t>
            </w:r>
          </w:p>
        </w:tc>
        <w:tc>
          <w:tcPr>
            <w:tcW w:type="dxa" w:w="2880"/>
          </w:tcPr>
          <w:p>
            <w:r>
              <w:t>Screen exists per wireframe; real authentication is a deployment item.</w:t>
            </w:r>
          </w:p>
        </w:tc>
      </w:tr>
      <w:tr>
        <w:tc>
          <w:tcPr>
            <w:tcW w:type="dxa" w:w="2880"/>
          </w:tcPr>
          <w:p>
            <w:r>
              <w:t>S2 Project list</w:t>
            </w:r>
          </w:p>
        </w:tc>
        <w:tc>
          <w:tcPr>
            <w:tcW w:type="dxa" w:w="2880"/>
          </w:tcPr>
          <w:p>
            <w:r>
              <w:t>Session only</w:t>
            </w:r>
          </w:p>
        </w:tc>
        <w:tc>
          <w:tcPr>
            <w:tcW w:type="dxa" w:w="2880"/>
          </w:tcPr>
          <w:p>
            <w:r>
              <w:t>Projects live in browser memory for the pilot; no server storage yet.</w:t>
            </w:r>
          </w:p>
        </w:tc>
      </w:tr>
      <w:tr>
        <w:tc>
          <w:tcPr>
            <w:tcW w:type="dxa" w:w="2880"/>
          </w:tcPr>
          <w:p>
            <w:r>
              <w:t>S3 New project</w:t>
            </w:r>
          </w:p>
        </w:tc>
        <w:tc>
          <w:tcPr>
            <w:tcW w:type="dxa" w:w="2880"/>
          </w:tcPr>
          <w:p>
            <w:r>
              <w:t>Done</w:t>
            </w:r>
          </w:p>
        </w:tc>
        <w:tc>
          <w:tcPr>
            <w:tcW w:type="dxa" w:w="2880"/>
          </w:tcPr>
          <w:p>
            <w:r>
              <w:t>Client, reference, new business / renewal, policy type (pre-fills every column), insurers approached.</w:t>
            </w:r>
          </w:p>
        </w:tc>
      </w:tr>
      <w:tr>
        <w:tc>
          <w:tcPr>
            <w:tcW w:type="dxa" w:w="2880"/>
          </w:tcPr>
          <w:p>
            <w:r>
              <w:t>S4 Upload</w:t>
            </w:r>
          </w:p>
        </w:tc>
        <w:tc>
          <w:tcPr>
            <w:tcW w:type="dxa" w:w="2880"/>
          </w:tcPr>
          <w:p>
            <w:r>
              <w:t>Done</w:t>
            </w:r>
          </w:p>
        </w:tc>
        <w:tc>
          <w:tcPr>
            <w:tcW w:type="dxa" w:w="2880"/>
          </w:tcPr>
          <w:p>
            <w:r>
              <w:t>Drag-and-drop plus picker; separate slots for quotes, credit-limit documents, expiring policy; per-file status; duplicate uploads skipped; failed files can be retried; late quotes add columns.</w:t>
            </w:r>
          </w:p>
        </w:tc>
      </w:tr>
      <w:tr>
        <w:tc>
          <w:tcPr>
            <w:tcW w:type="dxa" w:w="2880"/>
          </w:tcPr>
          <w:p>
            <w:r>
              <w:t>S5 Review and edit</w:t>
            </w:r>
          </w:p>
        </w:tc>
        <w:tc>
          <w:tcPr>
            <w:tcW w:type="dxa" w:w="2880"/>
          </w:tcPr>
          <w:p>
            <w:r>
              <w:t>Done</w:t>
            </w:r>
          </w:p>
        </w:tc>
        <w:tc>
          <w:tcPr>
            <w:tcW w:type="dxa" w:w="2880"/>
          </w:tcPr>
          <w:p>
            <w:r>
              <w:t>Comparison grid mirrors the presentation slide; every cell editable; blanks stay blank; missing values amber, uncertain flagged; set fields marked “set”; the four key values confirmed per column, confirmed rows turn green; free-format box.</w:t>
            </w:r>
          </w:p>
        </w:tc>
      </w:tr>
      <w:tr>
        <w:tc>
          <w:tcPr>
            <w:tcW w:type="dxa" w:w="2880"/>
          </w:tcPr>
          <w:p>
            <w:r>
              <w:t>S6 Credit limits</w:t>
            </w:r>
          </w:p>
        </w:tc>
        <w:tc>
          <w:tcPr>
            <w:tcW w:type="dxa" w:w="2880"/>
          </w:tcPr>
          <w:p>
            <w:r>
              <w:t>Done</w:t>
            </w:r>
          </w:p>
        </w:tc>
        <w:tc>
          <w:tcPr>
            <w:tcW w:type="dxa" w:w="2880"/>
          </w:tcPr>
          <w:p>
            <w:r>
              <w:t>Editable grid; rows can be added, edited, removed; per-insurer offered limits.</w:t>
            </w:r>
          </w:p>
        </w:tc>
      </w:tr>
      <w:tr>
        <w:tc>
          <w:tcPr>
            <w:tcW w:type="dxa" w:w="2880"/>
          </w:tcPr>
          <w:p>
            <w:r>
              <w:t>S7 Comments and recommendation</w:t>
            </w:r>
          </w:p>
        </w:tc>
        <w:tc>
          <w:tcPr>
            <w:tcW w:type="dxa" w:w="2880"/>
          </w:tcPr>
          <w:p>
            <w:r>
              <w:t>Done</w:t>
            </w:r>
          </w:p>
        </w:tc>
        <w:tc>
          <w:tcPr>
            <w:tcW w:type="dxa" w:w="2880"/>
          </w:tcPr>
          <w:p>
            <w:r>
              <w:t>Standard wording read-only; selecting the recommended insurer merges its name and highlights its column; selection can be cleared; reasons box.</w:t>
            </w:r>
          </w:p>
        </w:tc>
      </w:tr>
      <w:tr>
        <w:tc>
          <w:tcPr>
            <w:tcW w:type="dxa" w:w="2880"/>
          </w:tcPr>
          <w:p>
            <w:r>
              <w:t>S8 Generate and export</w:t>
            </w:r>
          </w:p>
        </w:tc>
        <w:tc>
          <w:tcPr>
            <w:tcW w:type="dxa" w:w="2880"/>
          </w:tcPr>
          <w:p>
            <w:r>
              <w:t>Done</w:t>
            </w:r>
          </w:p>
        </w:tc>
        <w:tc>
          <w:tcPr>
            <w:tcW w:type="dxa" w:w="2880"/>
          </w:tcPr>
          <w:p>
            <w:r>
              <w:t>Preview, PowerPoint / PDF / limits-Excel downloads; export disabled until confirmation; approached-but-not-quoted insurers auto-named as declined.</w:t>
            </w:r>
          </w:p>
        </w:tc>
      </w:tr>
    </w:tbl>
    <w:p/>
    <w:p>
      <w:pPr>
        <w:pStyle w:val="Heading1"/>
      </w:pPr>
      <w:r>
        <w:t>9. Presentation export (BRD 2.8)</w:t>
      </w:r>
    </w:p>
    <w:p>
      <w:r>
        <w:rPr>
          <w:b w:val="0"/>
        </w:rPr>
        <w:t>One request renders three deliverables: an editable PowerPoint (only standard textboxes and tables, so it opens cleanly in Google Slides), the same deck as a PDF, and the buyer credit-limit table as Excel.</w:t>
      </w:r>
    </w:p>
    <w:p>
      <w:r>
        <w:rPr>
          <w:b w:val="0"/>
        </w:rPr>
        <w:t>Page order follows the BRD table exactly: 1 Client cover (title switches between “Credit Insurance Proposals” and “Renewal of Credit Insurance”), 2 About the broker, 3 Important information (fixed regulatory wording plus the auto-generated declined-to-quote line), 4 Terms comparison (the 16 rows, one to six insurer columns, recommended column highlighted, notes beneath), 5 Buyer credit limits (omitted cleanly when none), 6 Comments and recommendation (merged insurer name plus the broker's reasons), 7 Contact.</w:t>
      </w:r>
    </w:p>
    <w:p>
      <w:pPr>
        <w:pStyle w:val="Heading1"/>
      </w:pPr>
      <w:r>
        <w:t>10. BRD compliance matrix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BRD section</w:t>
            </w:r>
          </w:p>
        </w:tc>
        <w:tc>
          <w:tcPr>
            <w:tcW w:type="dxa" w:w="2880"/>
          </w:tcPr>
          <w:p>
            <w:r>
              <w:rPr>
                <w:b/>
              </w:rPr>
              <w:t>Status</w:t>
            </w:r>
          </w:p>
        </w:tc>
        <w:tc>
          <w:tcPr>
            <w:tcW w:type="dxa" w:w="2880"/>
          </w:tcPr>
          <w:p>
            <w:r>
              <w:rPr>
                <w:b/>
              </w:rPr>
              <w:t>Evidence / notes</w:t>
            </w:r>
          </w:p>
        </w:tc>
      </w:tr>
      <w:tr>
        <w:tc>
          <w:tcPr>
            <w:tcW w:type="dxa" w:w="2880"/>
          </w:tcPr>
          <w:p>
            <w:r>
              <w:t>2.1 Project setup</w:t>
            </w:r>
          </w:p>
        </w:tc>
        <w:tc>
          <w:tcPr>
            <w:tcW w:type="dxa" w:w="2880"/>
          </w:tcPr>
          <w:p>
            <w:r>
              <w:t>Done (UI level)</w:t>
            </w:r>
          </w:p>
        </w:tc>
        <w:tc>
          <w:tcPr>
            <w:tcW w:type="dxa" w:w="2880"/>
          </w:tcPr>
          <w:p>
            <w:r>
              <w:t>S3 form with all fields; approached insurers drive the declined line; renewal asks for the expiring policy. Server-side persistence is a deployment item.</w:t>
            </w:r>
          </w:p>
        </w:tc>
      </w:tr>
      <w:tr>
        <w:tc>
          <w:tcPr>
            <w:tcW w:type="dxa" w:w="2880"/>
          </w:tcPr>
          <w:p>
            <w:r>
              <w:t>2.2 Upload and extraction</w:t>
            </w:r>
          </w:p>
        </w:tc>
        <w:tc>
          <w:tcPr>
            <w:tcW w:type="dxa" w:w="2880"/>
          </w:tcPr>
          <w:p>
            <w:r>
              <w:t>Done</w:t>
            </w:r>
          </w:p>
        </w:tc>
        <w:tc>
          <w:tcPr>
            <w:tcW w:type="dxa" w:w="2880"/>
          </w:tcPr>
          <w:p>
            <w:r>
              <w:t>Digital + scanned PDFs, .xlsx and legacy .xls; blank-never-guessed; page-linked values; confidence flags; unreadable files flagged individually while the project continues.</w:t>
            </w:r>
          </w:p>
        </w:tc>
      </w:tr>
      <w:tr>
        <w:tc>
          <w:tcPr>
            <w:tcW w:type="dxa" w:w="2880"/>
          </w:tcPr>
          <w:p>
            <w:r>
              <w:t>2.3 Comparison fields + mapping library</w:t>
            </w:r>
          </w:p>
        </w:tc>
        <w:tc>
          <w:tcPr>
            <w:tcW w:type="dxa" w:w="2880"/>
          </w:tcPr>
          <w:p>
            <w:r>
              <w:t>Done</w:t>
            </w:r>
          </w:p>
        </w:tc>
        <w:tc>
          <w:tcPr>
            <w:tcW w:type="dxa" w:w="2880"/>
          </w:tcPr>
          <w:p>
            <w:r>
              <w:t>All 16 rows; terminology library in config JSON; Excess type kept in original wording.</w:t>
            </w:r>
          </w:p>
        </w:tc>
      </w:tr>
      <w:tr>
        <w:tc>
          <w:tcPr>
            <w:tcW w:type="dxa" w:w="2880"/>
          </w:tcPr>
          <w:p>
            <w:r>
              <w:t>2.4 Set fields</w:t>
            </w:r>
          </w:p>
        </w:tc>
        <w:tc>
          <w:tcPr>
            <w:tcW w:type="dxa" w:w="2880"/>
          </w:tcPr>
          <w:p>
            <w:r>
              <w:t>Done</w:t>
            </w:r>
          </w:p>
        </w:tc>
        <w:tc>
          <w:tcPr>
            <w:tcW w:type="dxa" w:w="2880"/>
          </w:tcPr>
          <w:p>
            <w:r>
              <w:t>Policy type broker-set (pre-filled per column); debt collection from the insurer rule with aliases; both overridable per column.</w:t>
            </w:r>
          </w:p>
        </w:tc>
      </w:tr>
      <w:tr>
        <w:tc>
          <w:tcPr>
            <w:tcW w:type="dxa" w:w="2880"/>
          </w:tcPr>
          <w:p>
            <w:r>
              <w:t>2.5 Confirmation gate</w:t>
            </w:r>
          </w:p>
        </w:tc>
        <w:tc>
          <w:tcPr>
            <w:tcW w:type="dxa" w:w="2880"/>
          </w:tcPr>
          <w:p>
            <w:r>
              <w:t>Done</w:t>
            </w:r>
          </w:p>
        </w:tc>
        <w:tc>
          <w:tcPr>
            <w:tcW w:type="dxa" w:w="2880"/>
          </w:tcPr>
          <w:p>
            <w:r>
              <w:t>Estimated annual premium, indemnity, excess, max annual liability; enforced server-side (HTTP 409).</w:t>
            </w:r>
          </w:p>
        </w:tc>
      </w:tr>
      <w:tr>
        <w:tc>
          <w:tcPr>
            <w:tcW w:type="dxa" w:w="2880"/>
          </w:tcPr>
          <w:p>
            <w:r>
              <w:t>2.6 Buyer credit limits</w:t>
            </w:r>
          </w:p>
        </w:tc>
        <w:tc>
          <w:tcPr>
            <w:tcW w:type="dxa" w:w="2880"/>
          </w:tcPr>
          <w:p>
            <w:r>
              <w:t>Done</w:t>
            </w:r>
          </w:p>
        </w:tc>
        <w:tc>
          <w:tcPr>
            <w:tcW w:type="dxa" w:w="2880"/>
          </w:tcPr>
          <w:p>
            <w:r>
              <w:t>Extraction from schedules and addenda; editable grid; per-insurer offers; editable Excel export.</w:t>
            </w:r>
          </w:p>
        </w:tc>
      </w:tr>
      <w:tr>
        <w:tc>
          <w:tcPr>
            <w:tcW w:type="dxa" w:w="2880"/>
          </w:tcPr>
          <w:p>
            <w:r>
              <w:t>2.7 Recommendation</w:t>
            </w:r>
          </w:p>
        </w:tc>
        <w:tc>
          <w:tcPr>
            <w:tcW w:type="dxa" w:w="2880"/>
          </w:tcPr>
          <w:p>
            <w:r>
              <w:t>Done</w:t>
            </w:r>
          </w:p>
        </w:tc>
        <w:tc>
          <w:tcPr>
            <w:tcW w:type="dxa" w:w="2880"/>
          </w:tcPr>
          <w:p>
            <w:r>
              <w:t>Broker selects; name merged into standard wording; column highlighted in both exported tables; regulatory wording fixed.</w:t>
            </w:r>
          </w:p>
        </w:tc>
      </w:tr>
      <w:tr>
        <w:tc>
          <w:tcPr>
            <w:tcW w:type="dxa" w:w="2880"/>
          </w:tcPr>
          <w:p>
            <w:r>
              <w:t>2.8 Presentation and export</w:t>
            </w:r>
          </w:p>
        </w:tc>
        <w:tc>
          <w:tcPr>
            <w:tcW w:type="dxa" w:w="2880"/>
          </w:tcPr>
          <w:p>
            <w:r>
              <w:t>Done</w:t>
            </w:r>
          </w:p>
        </w:tc>
        <w:tc>
          <w:tcPr>
            <w:tcW w:type="dxa" w:w="2880"/>
          </w:tcPr>
          <w:p>
            <w:r>
              <w:t>7-page deck in BRD order; PPTX + PDF; 1–6 columns; gate enforced; verified line by line (see 11.2). Visual template is neutral pending the client's approved template (a BRD open item).</w:t>
            </w:r>
          </w:p>
        </w:tc>
      </w:tr>
      <w:tr>
        <w:tc>
          <w:tcPr>
            <w:tcW w:type="dxa" w:w="2880"/>
          </w:tcPr>
          <w:p>
            <w:r>
              <w:t>2.9 Project history</w:t>
            </w:r>
          </w:p>
        </w:tc>
        <w:tc>
          <w:tcPr>
            <w:tcW w:type="dxa" w:w="2880"/>
          </w:tcPr>
          <w:p>
            <w:r>
              <w:t>Not in this build</w:t>
            </w:r>
          </w:p>
        </w:tc>
        <w:tc>
          <w:tcPr>
            <w:tcW w:type="dxa" w:w="2880"/>
          </w:tcPr>
          <w:p>
            <w:r>
              <w:t>Requires server-side storage; BRD itself defers versioning/audit.</w:t>
            </w:r>
          </w:p>
        </w:tc>
      </w:tr>
      <w:tr>
        <w:tc>
          <w:tcPr>
            <w:tcW w:type="dxa" w:w="2880"/>
          </w:tcPr>
          <w:p>
            <w:r>
              <w:t>2.10 Users and access</w:t>
            </w:r>
          </w:p>
        </w:tc>
        <w:tc>
          <w:tcPr>
            <w:tcW w:type="dxa" w:w="2880"/>
          </w:tcPr>
          <w:p>
            <w:r>
              <w:t>Not in this build</w:t>
            </w:r>
          </w:p>
        </w:tc>
        <w:tc>
          <w:tcPr>
            <w:tcW w:type="dxa" w:w="2880"/>
          </w:tcPr>
          <w:p>
            <w:r>
              <w:t>Login screen is a stub; email/password auth is a deployment item.</w:t>
            </w:r>
          </w:p>
        </w:tc>
      </w:tr>
      <w:tr>
        <w:tc>
          <w:tcPr>
            <w:tcW w:type="dxa" w:w="2880"/>
          </w:tcPr>
          <w:p>
            <w:r>
              <w:t>2.11 Data handling</w:t>
            </w:r>
          </w:p>
        </w:tc>
        <w:tc>
          <w:tcPr>
            <w:tcW w:type="dxa" w:w="2880"/>
          </w:tcPr>
          <w:p>
            <w:r>
              <w:t>Deployment item</w:t>
            </w:r>
          </w:p>
        </w:tc>
        <w:tc>
          <w:tcPr>
            <w:tcW w:type="dxa" w:w="2880"/>
          </w:tcPr>
          <w:p>
            <w:r>
              <w:t>UK/EU hosting, encryption, retention policy to be decided at deployment; no document is used for model training.</w:t>
            </w:r>
          </w:p>
        </w:tc>
      </w:tr>
      <w:tr>
        <w:tc>
          <w:tcPr>
            <w:tcW w:type="dxa" w:w="2880"/>
          </w:tcPr>
          <w:p>
            <w:r>
              <w:t>Section 3 screens S1–S8</w:t>
            </w:r>
          </w:p>
        </w:tc>
        <w:tc>
          <w:tcPr>
            <w:tcW w:type="dxa" w:w="2880"/>
          </w:tcPr>
          <w:p>
            <w:r>
              <w:t>S3–S8 done</w:t>
            </w:r>
          </w:p>
        </w:tc>
        <w:tc>
          <w:tcPr>
            <w:tcW w:type="dxa" w:w="2880"/>
          </w:tcPr>
          <w:p>
            <w:r>
              <w:t>S1 stub, S2 session-only (see section 8).</w:t>
            </w:r>
          </w:p>
        </w:tc>
      </w:tr>
      <w:tr>
        <w:tc>
          <w:tcPr>
            <w:tcW w:type="dxa" w:w="2880"/>
          </w:tcPr>
          <w:p>
            <w:r>
              <w:t>Section 4 rules</w:t>
            </w:r>
          </w:p>
        </w:tc>
        <w:tc>
          <w:tcPr>
            <w:tcW w:type="dxa" w:w="2880"/>
          </w:tcPr>
          <w:p>
            <w:r>
              <w:t>All enforced</w:t>
            </w:r>
          </w:p>
        </w:tc>
        <w:tc>
          <w:tcPr>
            <w:tcW w:type="dxa" w:w="2880"/>
          </w:tcPr>
          <w:p>
            <w:r>
              <w:t>Every rule verified by at least one automated test or live check.</w:t>
            </w:r>
          </w:p>
        </w:tc>
      </w:tr>
    </w:tbl>
    <w:p/>
    <w:p>
      <w:pPr>
        <w:pStyle w:val="Heading1"/>
      </w:pPr>
      <w:r>
        <w:t>11. Test results</w:t>
      </w:r>
    </w:p>
    <w:p>
      <w:pPr>
        <w:pStyle w:val="Heading2"/>
      </w:pPr>
      <w:r>
        <w:t>11.1 Automated test suite — 73 of 73 passing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 file</w:t>
            </w:r>
          </w:p>
        </w:tc>
        <w:tc>
          <w:tcPr>
            <w:tcW w:type="dxa" w:w="2880"/>
          </w:tcPr>
          <w:p>
            <w:r>
              <w:rPr>
                <w:b/>
              </w:rPr>
              <w:t>Tests</w:t>
            </w:r>
          </w:p>
        </w:tc>
        <w:tc>
          <w:tcPr>
            <w:tcW w:type="dxa" w:w="2880"/>
          </w:tcPr>
          <w:p>
            <w:r>
              <w:rPr>
                <w:b/>
              </w:rPr>
              <w:t>What it proves</w:t>
            </w:r>
          </w:p>
        </w:tc>
      </w:tr>
      <w:tr>
        <w:tc>
          <w:tcPr>
            <w:tcW w:type="dxa" w:w="2880"/>
          </w:tcPr>
          <w:p>
            <w:r>
              <w:t>test_api.py</w:t>
            </w:r>
          </w:p>
        </w:tc>
        <w:tc>
          <w:tcPr>
            <w:tcW w:type="dxa" w:w="2880"/>
          </w:tcPr>
          <w:p>
            <w:r>
              <w:t>13</w:t>
            </w:r>
          </w:p>
        </w:tc>
        <w:tc>
          <w:tcPr>
            <w:tcW w:type="dxa" w:w="2880"/>
          </w:tcPr>
          <w:p>
            <w:r>
              <w:t>Endpoint contracts: upload validation, size caps, error mapping, health, insurers</w:t>
            </w:r>
          </w:p>
        </w:tc>
      </w:tr>
      <w:tr>
        <w:tc>
          <w:tcPr>
            <w:tcW w:type="dxa" w:w="2880"/>
          </w:tcPr>
          <w:p>
            <w:r>
              <w:t>test_detector.py</w:t>
            </w:r>
          </w:p>
        </w:tc>
        <w:tc>
          <w:tcPr>
            <w:tcW w:type="dxa" w:w="2880"/>
          </w:tcPr>
          <w:p>
            <w:r>
              <w:t>5</w:t>
            </w:r>
          </w:p>
        </w:tc>
        <w:tc>
          <w:tcPr>
            <w:tcW w:type="dxa" w:w="2880"/>
          </w:tcPr>
          <w:p>
            <w:r>
              <w:t>Digital vs scanned PDF detection</w:t>
            </w:r>
          </w:p>
        </w:tc>
      </w:tr>
      <w:tr>
        <w:tc>
          <w:tcPr>
            <w:tcW w:type="dxa" w:w="2880"/>
          </w:tcPr>
          <w:p>
            <w:r>
              <w:t>test_excel.py</w:t>
            </w:r>
          </w:p>
        </w:tc>
        <w:tc>
          <w:tcPr>
            <w:tcW w:type="dxa" w:w="2880"/>
          </w:tcPr>
          <w:p>
            <w:r>
              <w:t>7</w:t>
            </w:r>
          </w:p>
        </w:tc>
        <w:tc>
          <w:tcPr>
            <w:tcW w:type="dxa" w:w="2880"/>
          </w:tcPr>
          <w:p>
            <w:r>
              <w:t>.xlsx and legacy .xls parsing, magic-byte routing</w:t>
            </w:r>
          </w:p>
        </w:tc>
      </w:tr>
      <w:tr>
        <w:tc>
          <w:tcPr>
            <w:tcW w:type="dxa" w:w="2880"/>
          </w:tcPr>
          <w:p>
            <w:r>
              <w:t>test_library.py</w:t>
            </w:r>
          </w:p>
        </w:tc>
        <w:tc>
          <w:tcPr>
            <w:tcW w:type="dxa" w:w="2880"/>
          </w:tcPr>
          <w:p>
            <w:r>
              <w:t>6</w:t>
            </w:r>
          </w:p>
        </w:tc>
        <w:tc>
          <w:tcPr>
            <w:tcW w:type="dxa" w:w="2880"/>
          </w:tcPr>
          <w:p>
            <w:r>
              <w:t>Debt rule incl. aliases; terminology covers every field; prompt built from the library; Protracted Default rule present</w:t>
            </w:r>
          </w:p>
        </w:tc>
      </w:tr>
      <w:tr>
        <w:tc>
          <w:tcPr>
            <w:tcW w:type="dxa" w:w="2880"/>
          </w:tcPr>
          <w:p>
            <w:r>
              <w:t>test_ocr_routing.py</w:t>
            </w:r>
          </w:p>
        </w:tc>
        <w:tc>
          <w:tcPr>
            <w:tcW w:type="dxa" w:w="2880"/>
          </w:tcPr>
          <w:p>
            <w:r>
              <w:t>4</w:t>
            </w:r>
          </w:p>
        </w:tc>
        <w:tc>
          <w:tcPr>
            <w:tcW w:type="dxa" w:w="2880"/>
          </w:tcPr>
          <w:p>
            <w:r>
              <w:t>Azure-first / Docling-fallback engine choice</w:t>
            </w:r>
          </w:p>
        </w:tc>
      </w:tr>
      <w:tr>
        <w:tc>
          <w:tcPr>
            <w:tcW w:type="dxa" w:w="2880"/>
          </w:tcPr>
          <w:p>
            <w:r>
              <w:t>test_pipeline.py</w:t>
            </w:r>
          </w:p>
        </w:tc>
        <w:tc>
          <w:tcPr>
            <w:tcW w:type="dxa" w:w="2880"/>
          </w:tcPr>
          <w:p>
            <w:r>
              <w:t>4</w:t>
            </w:r>
          </w:p>
        </w:tc>
        <w:tc>
          <w:tcPr>
            <w:tcW w:type="dxa" w:w="2880"/>
          </w:tcPr>
          <w:p>
            <w:r>
              <w:t>End-to-end orchestration, review summary, sanitisation</w:t>
            </w:r>
          </w:p>
        </w:tc>
      </w:tr>
      <w:tr>
        <w:tc>
          <w:tcPr>
            <w:tcW w:type="dxa" w:w="2880"/>
          </w:tcPr>
          <w:p>
            <w:r>
              <w:t>test_presentation.py</w:t>
            </w:r>
          </w:p>
        </w:tc>
        <w:tc>
          <w:tcPr>
            <w:tcW w:type="dxa" w:w="2880"/>
          </w:tcPr>
          <w:p>
            <w:r>
              <w:t>11</w:t>
            </w:r>
          </w:p>
        </w:tc>
        <w:tc>
          <w:tcPr>
            <w:tcW w:type="dxa" w:w="2880"/>
          </w:tcPr>
          <w:p>
            <w:r>
              <w:t>Export gate, page set, declined line, 1–6 columns, PDF mirror, Excel round-trip, download headers</w:t>
            </w:r>
          </w:p>
        </w:tc>
      </w:tr>
      <w:tr>
        <w:tc>
          <w:tcPr>
            <w:tcW w:type="dxa" w:w="2880"/>
          </w:tcPr>
          <w:p>
            <w:r>
              <w:t>test_router.py</w:t>
            </w:r>
          </w:p>
        </w:tc>
        <w:tc>
          <w:tcPr>
            <w:tcW w:type="dxa" w:w="2880"/>
          </w:tcPr>
          <w:p>
            <w:r>
              <w:t>5</w:t>
            </w:r>
          </w:p>
        </w:tc>
        <w:tc>
          <w:tcPr>
            <w:tcW w:type="dxa" w:w="2880"/>
          </w:tcPr>
          <w:p>
            <w:r>
              <w:t>Provider selection and failure mapping</w:t>
            </w:r>
          </w:p>
        </w:tc>
      </w:tr>
      <w:tr>
        <w:tc>
          <w:tcPr>
            <w:tcW w:type="dxa" w:w="2880"/>
          </w:tcPr>
          <w:p>
            <w:r>
              <w:t>test_schema.py</w:t>
            </w:r>
          </w:p>
        </w:tc>
        <w:tc>
          <w:tcPr>
            <w:tcW w:type="dxa" w:w="2880"/>
          </w:tcPr>
          <w:p>
            <w:r>
              <w:t>5</w:t>
            </w:r>
          </w:p>
        </w:tc>
        <w:tc>
          <w:tcPr>
            <w:tcW w:type="dxa" w:w="2880"/>
          </w:tcPr>
          <w:p>
            <w:r>
              <w:t>Schema strictness and sourced-value invariants</w:t>
            </w:r>
          </w:p>
        </w:tc>
      </w:tr>
      <w:tr>
        <w:tc>
          <w:tcPr>
            <w:tcW w:type="dxa" w:w="2880"/>
          </w:tcPr>
          <w:p>
            <w:r>
              <w:t>test_security.py</w:t>
            </w:r>
          </w:p>
        </w:tc>
        <w:tc>
          <w:tcPr>
            <w:tcW w:type="dxa" w:w="2880"/>
          </w:tcPr>
          <w:p>
            <w:r>
              <w:t>5</w:t>
            </w:r>
          </w:p>
        </w:tc>
        <w:tc>
          <w:tcPr>
            <w:tcW w:type="dxa" w:w="2880"/>
          </w:tcPr>
          <w:p>
            <w:r>
              <w:t>Rate limiting, headers/CSP, injection fencing, secret non-exposure</w:t>
            </w:r>
          </w:p>
        </w:tc>
      </w:tr>
      <w:tr>
        <w:tc>
          <w:tcPr>
            <w:tcW w:type="dxa" w:w="2880"/>
          </w:tcPr>
          <w:p>
            <w:r>
              <w:t>test_verification.py</w:t>
            </w:r>
          </w:p>
        </w:tc>
        <w:tc>
          <w:tcPr>
            <w:tcW w:type="dxa" w:w="2880"/>
          </w:tcPr>
          <w:p>
            <w:r>
              <w:t>8</w:t>
            </w:r>
          </w:p>
        </w:tc>
        <w:tc>
          <w:tcPr>
            <w:tcW w:type="dxa" w:w="2880"/>
          </w:tcPr>
          <w:p>
            <w:r>
              <w:t>Anti-hallucination pass incl. digit-run and short-value (“0”) matching</w:t>
            </w:r>
          </w:p>
        </w:tc>
      </w:tr>
    </w:tbl>
    <w:p/>
    <w:p>
      <w:r>
        <w:rPr>
          <w:b w:val="0"/>
        </w:rPr>
        <w:t>Ruff lint: clean, zero findings. All 73 tests pass on the current commit (98fb36b).</w:t>
      </w:r>
    </w:p>
    <w:p>
      <w:pPr>
        <w:pStyle w:val="Heading2"/>
      </w:pPr>
      <w:r>
        <w:t>11.2 Presentation verified against BRD 2.8 line by line</w:t>
      </w:r>
    </w:p>
    <w:p>
      <w:r>
        <w:rPr>
          <w:b w:val="0"/>
        </w:rPr>
        <w:t>A dedicated verification generated a realistic three-insurer project and checked 25 BRD statements against the actual produced files: page order, both cover titles, fixed regulatory wording, the auto-declined line, the 16-row table, set fields, blank cells staying blank, the recommended-column highlight in both tables, omission of the credit-limit page when empty, merged recommendation wording, no auto-selection without a broker choice, Google-Slides-safe shapes, 1-and-6-column layouts, the PDF mirroring the deck, the Excel round-trip and the download filename. Result: 25 of 25 passed.</w:t>
      </w:r>
    </w:p>
    <w:p>
      <w:pPr>
        <w:pStyle w:val="Heading2"/>
      </w:pPr>
      <w:r>
        <w:t>11.3 Blind tests on documents the system had never seen</w:t>
      </w:r>
    </w:p>
    <w:tbl>
      <w:tblPr>
        <w:tblStyle w:val="TableGrid"/>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Result</w:t>
            </w:r>
          </w:p>
        </w:tc>
      </w:tr>
      <w:tr>
        <w:tc>
          <w:tcPr>
            <w:tcW w:type="dxa" w:w="4320"/>
          </w:tcPr>
          <w:p>
            <w:r>
              <w:t>Nexus quotation (never seen before)</w:t>
            </w:r>
          </w:p>
        </w:tc>
        <w:tc>
          <w:tcPr>
            <w:tcW w:type="dxa" w:w="4320"/>
          </w:tcPr>
          <w:p>
            <w:r>
              <w:t>11 of 11 present fields extracted correctly, correct page links, no false values.</w:t>
            </w:r>
          </w:p>
        </w:tc>
      </w:tr>
      <w:tr>
        <w:tc>
          <w:tcPr>
            <w:tcW w:type="dxa" w:w="4320"/>
          </w:tcPr>
          <w:p>
            <w:r>
              <w:t>Zurich indication, DCS Networks (never seen before)</w:t>
            </w:r>
          </w:p>
        </w:tc>
        <w:tc>
          <w:tcPr>
            <w:tcW w:type="dxa" w:w="4320"/>
          </w:tcPr>
          <w:p>
            <w:r>
              <w:t>10 of 11 correct on first run; the one miss (a Protracted Default waiting period mapped to Max extension period) was self-flagged ‘uncertain’ by the system — exactly the safety behaviour designed. A prompt rule was added; the re-run is fully correct with zero uncertain flags.</w:t>
            </w:r>
          </w:p>
        </w:tc>
      </w:tr>
      <w:tr>
        <w:tc>
          <w:tcPr>
            <w:tcW w:type="dxa" w:w="4320"/>
          </w:tcPr>
          <w:p>
            <w:r>
              <w:t>Image-only scanned PDF (OCR path)</w:t>
            </w:r>
          </w:p>
        </w:tc>
        <w:tc>
          <w:tcPr>
            <w:tcW w:type="dxa" w:w="4320"/>
          </w:tcPr>
          <w:p>
            <w:r>
              <w:t>Docling OCR route verified; extraction from the scan matched the digital original.</w:t>
            </w:r>
          </w:p>
        </w:tc>
      </w:tr>
    </w:tbl>
    <w:p/>
    <w:p>
      <w:pPr>
        <w:pStyle w:val="Heading2"/>
      </w:pPr>
      <w:r>
        <w:t>11.4 Model comparison (Claude Haiku vs Claude Sonnet)</w:t>
      </w:r>
    </w:p>
    <w:p>
      <w:r>
        <w:rPr>
          <w:b w:val="0"/>
        </w:rPr>
        <w:t>An A/B run on real insurer documents showed field-level parity between claude-haiku-4-5 and claude-sonnet-5 on this task. Haiku is the default (faster and cheaper); the model is a one-line .env change, and the deterministic verification layer applies to any model's output.</w:t>
      </w:r>
    </w:p>
    <w:p>
      <w:pPr>
        <w:pStyle w:val="Heading1"/>
      </w:pPr>
      <w:r>
        <w:t>12. Known gaps and recommended next steps</w:t>
      </w:r>
    </w:p>
    <w:p>
      <w:r>
        <w:rPr>
          <w:b w:val="0"/>
        </w:rPr>
        <w:t>These are deployment-tier items, disclosed and intentionally outside the assigned extraction scope: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BRD ref</w:t>
            </w:r>
          </w:p>
        </w:tc>
        <w:tc>
          <w:tcPr>
            <w:tcW w:type="dxa" w:w="2880"/>
          </w:tcPr>
          <w:p>
            <w:r>
              <w:rPr>
                <w:b/>
              </w:rPr>
              <w:t>Recommendation</w:t>
            </w:r>
          </w:p>
        </w:tc>
      </w:tr>
      <w:tr>
        <w:tc>
          <w:tcPr>
            <w:tcW w:type="dxa" w:w="2880"/>
          </w:tcPr>
          <w:p>
            <w:r>
              <w:t>Authentication</w:t>
            </w:r>
          </w:p>
        </w:tc>
        <w:tc>
          <w:tcPr>
            <w:tcW w:type="dxa" w:w="2880"/>
          </w:tcPr>
          <w:p>
            <w:r>
              <w:t>2.10 / S1</w:t>
            </w:r>
          </w:p>
        </w:tc>
        <w:tc>
          <w:tcPr>
            <w:tcW w:type="dxa" w:w="2880"/>
          </w:tcPr>
          <w:p>
            <w:r>
              <w:t>Replace the login stub with email + password auth (3–4 internal users, identical permissions).</w:t>
            </w:r>
          </w:p>
        </w:tc>
      </w:tr>
      <w:tr>
        <w:tc>
          <w:tcPr>
            <w:tcW w:type="dxa" w:w="2880"/>
          </w:tcPr>
          <w:p>
            <w:r>
              <w:t>Project storage and history</w:t>
            </w:r>
          </w:p>
        </w:tc>
        <w:tc>
          <w:tcPr>
            <w:tcW w:type="dxa" w:w="2880"/>
          </w:tcPr>
          <w:p>
            <w:r>
              <w:t>2.9 / S2</w:t>
            </w:r>
          </w:p>
        </w:tc>
        <w:tc>
          <w:tcPr>
            <w:tcW w:type="dxa" w:w="2880"/>
          </w:tcPr>
          <w:p>
            <w:r>
              <w:t>Persist projects, uploaded documents and generated exports server-side; reopenable project list.</w:t>
            </w:r>
          </w:p>
        </w:tc>
      </w:tr>
      <w:tr>
        <w:tc>
          <w:tcPr>
            <w:tcW w:type="dxa" w:w="2880"/>
          </w:tcPr>
          <w:p>
            <w:r>
              <w:t>Hosting and data handling</w:t>
            </w:r>
          </w:p>
        </w:tc>
        <w:tc>
          <w:tcPr>
            <w:tcW w:type="dxa" w:w="2880"/>
          </w:tcPr>
          <w:p>
            <w:r>
              <w:t>2.11</w:t>
            </w:r>
          </w:p>
        </w:tc>
        <w:tc>
          <w:tcPr>
            <w:tcW w:type="dxa" w:w="2880"/>
          </w:tcPr>
          <w:p>
            <w:r>
              <w:t>UK or EU hosting, encryption at rest and in transit, access limited to named users, agreed retention/deletion policy before go-live.</w:t>
            </w:r>
          </w:p>
        </w:tc>
      </w:tr>
      <w:tr>
        <w:tc>
          <w:tcPr>
            <w:tcW w:type="dxa" w:w="2880"/>
          </w:tcPr>
          <w:p>
            <w:r>
              <w:t>Approved presentation template</w:t>
            </w:r>
          </w:p>
        </w:tc>
        <w:tc>
          <w:tcPr>
            <w:tcW w:type="dxa" w:w="2880"/>
          </w:tcPr>
          <w:p>
            <w:r>
              <w:t>2.8 open item</w:t>
            </w:r>
          </w:p>
        </w:tc>
        <w:tc>
          <w:tcPr>
            <w:tcW w:type="dxa" w:w="2880"/>
          </w:tcPr>
          <w:p>
            <w:r>
              <w:t>Restyle the deck (colours, fonts, any dropped pages) when the client supplies it; data flow unchanged.</w:t>
            </w:r>
          </w:p>
        </w:tc>
      </w:tr>
      <w:tr>
        <w:tc>
          <w:tcPr>
            <w:tcW w:type="dxa" w:w="2880"/>
          </w:tcPr>
          <w:p>
            <w:r>
              <w:t>Azure Document Intelligence keys</w:t>
            </w:r>
          </w:p>
        </w:tc>
        <w:tc>
          <w:tcPr>
            <w:tcW w:type="dxa" w:w="2880"/>
          </w:tcPr>
          <w:p>
            <w:r>
              <w:t>2.2</w:t>
            </w:r>
          </w:p>
        </w:tc>
        <w:tc>
          <w:tcPr>
            <w:tcW w:type="dxa" w:w="2880"/>
          </w:tcPr>
          <w:p>
            <w:r>
              <w:t>Optional: configure for faster, stronger OCR on scans; the code already prefers Azure when keys exist.</w:t>
            </w:r>
          </w:p>
        </w:tc>
      </w:tr>
      <w:tr>
        <w:tc>
          <w:tcPr>
            <w:tcW w:type="dxa" w:w="2880"/>
          </w:tcPr>
          <w:p>
            <w:r>
              <w:t>API key hygiene</w:t>
            </w:r>
          </w:p>
        </w:tc>
        <w:tc>
          <w:tcPr>
            <w:tcW w:type="dxa" w:w="2880"/>
          </w:tcPr>
          <w:p>
            <w:r>
              <w:t>—</w:t>
            </w:r>
          </w:p>
        </w:tc>
        <w:tc>
          <w:tcPr>
            <w:tcW w:type="dxa" w:w="2880"/>
          </w:tcPr>
          <w:p>
            <w:r>
              <w:t>Rotate the OpenAI key that was shared in chat during development; keep all keys only in .env.</w:t>
            </w:r>
          </w:p>
        </w:tc>
      </w:tr>
      <w:tr>
        <w:tc>
          <w:tcPr>
            <w:tcW w:type="dxa" w:w="2880"/>
          </w:tcPr>
          <w:p>
            <w:r>
              <w:t>Edit-rate logging</w:t>
            </w:r>
          </w:p>
        </w:tc>
        <w:tc>
          <w:tcPr>
            <w:tcW w:type="dxa" w:w="2880"/>
          </w:tcPr>
          <w:p>
            <w:r>
              <w:t>Section 5</w:t>
            </w:r>
          </w:p>
        </w:tc>
        <w:tc>
          <w:tcPr>
            <w:tcW w:type="dxa" w:w="2880"/>
          </w:tcPr>
          <w:p>
            <w:r>
              <w:t>Log which fields brokers correct, to measure the “under 10% edits” MVP target.</w:t>
            </w:r>
          </w:p>
        </w:tc>
      </w:tr>
      <w:tr>
        <w:tc>
          <w:tcPr>
            <w:tcW w:type="dxa" w:w="2880"/>
          </w:tcPr>
          <w:p>
            <w:r>
              <w:t>Wider insurer corpus</w:t>
            </w:r>
          </w:p>
        </w:tc>
        <w:tc>
          <w:tcPr>
            <w:tcW w:type="dxa" w:w="2880"/>
          </w:tcPr>
          <w:p>
            <w:r>
              <w:t>Open items</w:t>
            </w:r>
          </w:p>
        </w:tc>
        <w:tc>
          <w:tcPr>
            <w:tcW w:type="dxa" w:w="2880"/>
          </w:tcPr>
          <w:p>
            <w:r>
              <w:t>Test against the additional insurer examples the client is collecting; extend terminology.json as new wordings appear.</w:t>
            </w:r>
          </w:p>
        </w:tc>
      </w:tr>
    </w:tbl>
    <w:p/>
    <w:p>
      <w:pPr>
        <w:pStyle w:val="Heading1"/>
      </w:pPr>
      <w:r>
        <w:t>13. How to run</w:t>
      </w:r>
    </w:p>
    <w:p>
      <w:r>
        <w:rPr>
          <w:b w:val="0"/>
        </w:rPr>
        <w:t>1. Python 3.11 with a virtual environment; install backend/requirements.txt (plus backend/requirements-ocr.txt for the open-source OCR, and requirements-dev.txt for tests).</w:t>
      </w:r>
    </w:p>
    <w:p>
      <w:r>
        <w:rPr>
          <w:b w:val="0"/>
        </w:rPr>
        <w:t>2. Create .env at the repository root with at least ANTHROPIC_API_KEY (or OPENAI_API_KEY / Azure keys as available).</w:t>
      </w:r>
    </w:p>
    <w:p>
      <w:r>
        <w:rPr>
          <w:b w:val="0"/>
        </w:rPr>
        <w:t>3. Start: uvicorn app.main:app --app-dir backend --port 8000 — the app serves the frontend at http://localhost:8000 and the API beneath it.</w:t>
      </w:r>
    </w:p>
    <w:p>
      <w:r>
        <w:rPr>
          <w:b w:val="0"/>
        </w:rPr>
        <w:t>4. Tests: python -m pytest backend/tests  •  Lint: ruff check backend.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