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C757" w14:textId="7F9A4B03" w:rsidR="007D3949" w:rsidRPr="0010340F" w:rsidRDefault="00C6253E">
      <w:pPr>
        <w:rPr>
          <w:rFonts w:cstheme="minorHAnsi"/>
          <w:b/>
          <w:bCs/>
          <w:color w:val="FF0000"/>
          <w:sz w:val="20"/>
          <w:szCs w:val="20"/>
        </w:rPr>
      </w:pPr>
      <w:proofErr w:type="spellStart"/>
      <w:r w:rsidRPr="0010340F">
        <w:rPr>
          <w:rFonts w:cstheme="minorHAnsi"/>
          <w:b/>
          <w:bCs/>
          <w:color w:val="FF0000"/>
          <w:sz w:val="20"/>
          <w:szCs w:val="20"/>
        </w:rPr>
        <w:t>Warmup</w:t>
      </w:r>
      <w:proofErr w:type="spellEnd"/>
      <w:r w:rsidRPr="0010340F">
        <w:rPr>
          <w:rFonts w:cstheme="minorHAnsi"/>
          <w:b/>
          <w:bCs/>
          <w:color w:val="FF0000"/>
          <w:sz w:val="20"/>
          <w:szCs w:val="20"/>
        </w:rPr>
        <w:t>-task</w:t>
      </w:r>
    </w:p>
    <w:p w14:paraId="5D3CBB95" w14:textId="1BF4DE48" w:rsidR="00C6253E" w:rsidRPr="0010340F" w:rsidRDefault="00C6253E" w:rsidP="00C6253E">
      <w:pPr>
        <w:pStyle w:val="Paragrafoelenco"/>
        <w:numPr>
          <w:ilvl w:val="0"/>
          <w:numId w:val="1"/>
        </w:numPr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</w:pPr>
      <w:r w:rsidRPr="0010340F"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  <w:t>Find the price on Internet of two possible x86 servers with the following characteristics:</w:t>
      </w:r>
    </w:p>
    <w:p w14:paraId="73800C78" w14:textId="77777777" w:rsidR="00C6253E" w:rsidRPr="0010340F" w:rsidRDefault="00C6253E" w:rsidP="00C6253E">
      <w:pPr>
        <w:pStyle w:val="Paragrafoelenco"/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</w:pPr>
      <w:r w:rsidRPr="0010340F"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  <w:t>a. Rack server</w:t>
      </w:r>
    </w:p>
    <w:p w14:paraId="126B5B2C" w14:textId="77777777" w:rsidR="00C6253E" w:rsidRPr="0010340F" w:rsidRDefault="00C6253E" w:rsidP="00C6253E">
      <w:pPr>
        <w:pStyle w:val="Paragrafoelenco"/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</w:pPr>
      <w:r w:rsidRPr="0010340F"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  <w:t>b. At least 2 Intel Xeon Gold Processor</w:t>
      </w:r>
    </w:p>
    <w:p w14:paraId="3B9558F6" w14:textId="77777777" w:rsidR="00C6253E" w:rsidRPr="0010340F" w:rsidRDefault="00C6253E" w:rsidP="00C6253E">
      <w:pPr>
        <w:pStyle w:val="Paragrafoelenco"/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</w:pPr>
      <w:r w:rsidRPr="0010340F"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  <w:t>c. At least 12 cores per processor</w:t>
      </w:r>
    </w:p>
    <w:p w14:paraId="6B82B520" w14:textId="77777777" w:rsidR="00C6253E" w:rsidRPr="0010340F" w:rsidRDefault="00C6253E" w:rsidP="00C6253E">
      <w:pPr>
        <w:pStyle w:val="Paragrafoelenco"/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</w:pPr>
      <w:r w:rsidRPr="0010340F">
        <w:rPr>
          <w:rStyle w:val="Enfasiintensa"/>
          <w:rFonts w:cstheme="minorHAnsi"/>
          <w:b/>
          <w:bCs/>
          <w:color w:val="auto"/>
          <w:sz w:val="20"/>
          <w:szCs w:val="20"/>
          <w:lang w:val="en-US"/>
        </w:rPr>
        <w:t>d. At least 128 GB of RAM</w:t>
      </w:r>
    </w:p>
    <w:p w14:paraId="73276165" w14:textId="48D04D03" w:rsidR="00C6253E" w:rsidRPr="0010340F" w:rsidRDefault="00C6253E" w:rsidP="00C6253E">
      <w:pPr>
        <w:pStyle w:val="Paragrafoelenco"/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98"/>
        <w:gridCol w:w="4410"/>
      </w:tblGrid>
      <w:tr w:rsidR="00C6253E" w:rsidRPr="00C3120D" w14:paraId="13DF752E" w14:textId="77777777" w:rsidTr="00C6253E">
        <w:tc>
          <w:tcPr>
            <w:tcW w:w="4498" w:type="dxa"/>
          </w:tcPr>
          <w:p w14:paraId="4A58C4CD" w14:textId="6EC65127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>Configuration 2 Processors and 20 cores for each</w:t>
            </w:r>
          </w:p>
        </w:tc>
        <w:tc>
          <w:tcPr>
            <w:tcW w:w="4410" w:type="dxa"/>
          </w:tcPr>
          <w:p w14:paraId="4A82B826" w14:textId="49242706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>Configuration 2 Processors and 16 cores for each</w:t>
            </w:r>
          </w:p>
        </w:tc>
      </w:tr>
      <w:tr w:rsidR="00C6253E" w:rsidRPr="00C3120D" w14:paraId="1E18E833" w14:textId="77777777" w:rsidTr="00C6253E">
        <w:tc>
          <w:tcPr>
            <w:tcW w:w="4498" w:type="dxa"/>
          </w:tcPr>
          <w:p w14:paraId="270ABE2A" w14:textId="200C8E35" w:rsidR="00C6253E" w:rsidRPr="0010340F" w:rsidRDefault="005523A4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Smart Value PowerEdge R440 Server Basic</w:t>
            </w:r>
          </w:p>
        </w:tc>
        <w:tc>
          <w:tcPr>
            <w:tcW w:w="4410" w:type="dxa"/>
          </w:tcPr>
          <w:p w14:paraId="622E1CEF" w14:textId="0FEC750E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Smart Value PowerEdge R440 Server Basic</w:t>
            </w:r>
          </w:p>
        </w:tc>
      </w:tr>
      <w:tr w:rsidR="00C6253E" w:rsidRPr="00C3120D" w14:paraId="20236559" w14:textId="77777777" w:rsidTr="00C6253E">
        <w:tc>
          <w:tcPr>
            <w:tcW w:w="4498" w:type="dxa"/>
          </w:tcPr>
          <w:p w14:paraId="7E9F2459" w14:textId="15243C76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  <w:t>2x Intel® Xeon® Gold 5218R 2.1G, 20C/40T</w:t>
            </w:r>
          </w:p>
        </w:tc>
        <w:tc>
          <w:tcPr>
            <w:tcW w:w="4410" w:type="dxa"/>
          </w:tcPr>
          <w:p w14:paraId="3A4264D7" w14:textId="20E96C9E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  <w:t>2x Intel® Xeon® Gold 5218 2.3G, 16C/32T</w:t>
            </w:r>
          </w:p>
        </w:tc>
      </w:tr>
      <w:tr w:rsidR="00C6253E" w:rsidRPr="00C3120D" w14:paraId="6296C7B4" w14:textId="77777777" w:rsidTr="00C6253E">
        <w:tc>
          <w:tcPr>
            <w:tcW w:w="4498" w:type="dxa"/>
          </w:tcPr>
          <w:p w14:paraId="08F3C7A0" w14:textId="41F9AC6D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 xml:space="preserve">8x 16GB RDIMM, 3200MT/s, Dual Rank </w:t>
            </w:r>
          </w:p>
        </w:tc>
        <w:tc>
          <w:tcPr>
            <w:tcW w:w="4410" w:type="dxa"/>
          </w:tcPr>
          <w:p w14:paraId="0B3DF2C3" w14:textId="03DE12BA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2x 64GB RDIMM, 3200MT/s, Dual Rank</w:t>
            </w:r>
          </w:p>
        </w:tc>
      </w:tr>
      <w:tr w:rsidR="00C6253E" w:rsidRPr="0010340F" w14:paraId="27EB50DD" w14:textId="77777777" w:rsidTr="00C6253E">
        <w:tc>
          <w:tcPr>
            <w:tcW w:w="4498" w:type="dxa"/>
          </w:tcPr>
          <w:tbl>
            <w:tblPr>
              <w:tblW w:w="36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0"/>
            </w:tblGrid>
            <w:tr w:rsidR="00C6253E" w:rsidRPr="0010340F" w14:paraId="4AAED65E" w14:textId="77777777" w:rsidTr="00C6253E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5CFF56B9" w14:textId="65012298" w:rsidR="00C6253E" w:rsidRPr="0010340F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base  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7241,14</w:t>
                  </w:r>
                </w:p>
              </w:tc>
            </w:tr>
            <w:tr w:rsidR="00C6253E" w:rsidRPr="0010340F" w14:paraId="52E7E988" w14:textId="77777777" w:rsidTr="00C6253E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3062A1DA" w14:textId="2AD705C4" w:rsidR="00C6253E" w:rsidRPr="0010340F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Risparmio 2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703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,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4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 - sconto 3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5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%</w:t>
                  </w:r>
                </w:p>
              </w:tc>
            </w:tr>
            <w:tr w:rsidR="00C6253E" w:rsidRPr="0010340F" w14:paraId="0D4488B2" w14:textId="77777777" w:rsidTr="00C6253E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25F6EF3C" w14:textId="06FD1921" w:rsidR="00C6253E" w:rsidRPr="0010340F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finale (DELL) </w:t>
                  </w:r>
                </w:p>
              </w:tc>
            </w:tr>
            <w:tr w:rsidR="00C6253E" w:rsidRPr="0010340F" w14:paraId="4EBC7D62" w14:textId="77777777" w:rsidTr="00C6253E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51B0D618" w14:textId="77777777" w:rsidR="00C6253E" w:rsidRPr="0010340F" w:rsidRDefault="005523A4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4.537,74 €</w:t>
                  </w:r>
                </w:p>
                <w:p w14:paraId="30C544BA" w14:textId="5B7C4675" w:rsidR="0004398C" w:rsidRPr="0010340F" w:rsidRDefault="0004398C" w:rsidP="00C6253E">
                  <w:pPr>
                    <w:pStyle w:val="Nessunaspaziatura"/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>+</w:t>
                  </w:r>
                  <w:proofErr w:type="spellStart"/>
                  <w:r w:rsidR="000B03BC"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>Prosupport</w:t>
                  </w:r>
                  <w:proofErr w:type="spellEnd"/>
                  <w:r w:rsidR="000B03BC"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 xml:space="preserve"> Plus </w:t>
                  </w:r>
                  <w:r w:rsidR="000957C6"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 xml:space="preserve">1250 </w:t>
                  </w:r>
                  <w:r w:rsidR="000957C6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€</w:t>
                  </w:r>
                </w:p>
                <w:p w14:paraId="193CDB79" w14:textId="408105B8" w:rsidR="0004398C" w:rsidRPr="0010340F" w:rsidRDefault="0004398C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A77D397" w14:textId="77777777" w:rsidR="00C6253E" w:rsidRPr="0010340F" w:rsidRDefault="00C6253E" w:rsidP="00C6253E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4410" w:type="dxa"/>
          </w:tcPr>
          <w:tbl>
            <w:tblPr>
              <w:tblW w:w="374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744"/>
            </w:tblGrid>
            <w:tr w:rsidR="00C6253E" w:rsidRPr="0010340F" w14:paraId="7E72395F" w14:textId="77777777" w:rsidTr="00C30237">
              <w:trPr>
                <w:trHeight w:val="270"/>
              </w:trPr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46712A58" w14:textId="02F663E7" w:rsidR="00C6253E" w:rsidRPr="0010340F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Prezzo base  6839,14</w:t>
                  </w:r>
                </w:p>
              </w:tc>
            </w:tr>
            <w:tr w:rsidR="00C6253E" w:rsidRPr="0010340F" w14:paraId="2251244D" w14:textId="77777777" w:rsidTr="00C30237">
              <w:trPr>
                <w:trHeight w:val="270"/>
              </w:trPr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7F0FF5AF" w14:textId="61FC5F7C" w:rsidR="00C6253E" w:rsidRPr="0010340F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Risparmio 2497,7 – sconto 35%(</w:t>
                  </w:r>
                </w:p>
              </w:tc>
            </w:tr>
            <w:tr w:rsidR="00C6253E" w:rsidRPr="0010340F" w14:paraId="42F866CB" w14:textId="77777777" w:rsidTr="00C30237">
              <w:trPr>
                <w:trHeight w:val="270"/>
              </w:trPr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1DEA5CD7" w14:textId="77777777" w:rsidR="00C6253E" w:rsidRPr="0010340F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finale (DELL) </w:t>
                  </w:r>
                </w:p>
              </w:tc>
            </w:tr>
            <w:tr w:rsidR="00C6253E" w:rsidRPr="0010340F" w14:paraId="767B49AA" w14:textId="77777777" w:rsidTr="00C30237">
              <w:trPr>
                <w:trHeight w:val="270"/>
              </w:trPr>
              <w:tc>
                <w:tcPr>
                  <w:tcW w:w="37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1A571320" w14:textId="77777777" w:rsidR="00C6253E" w:rsidRDefault="00C6253E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4.544,66 €</w:t>
                  </w:r>
                </w:p>
                <w:p w14:paraId="1985602F" w14:textId="2C3C9E56" w:rsidR="00C30237" w:rsidRPr="0010340F" w:rsidRDefault="00C30237" w:rsidP="00C30237">
                  <w:pPr>
                    <w:pStyle w:val="Nessunaspaziatura"/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</w:pPr>
                  <w:r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>+</w:t>
                  </w:r>
                  <w:proofErr w:type="spellStart"/>
                  <w:r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>Prosupport</w:t>
                  </w:r>
                  <w:proofErr w:type="spellEnd"/>
                  <w:r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 xml:space="preserve"> Plus 1</w:t>
                  </w:r>
                  <w:r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>100</w:t>
                  </w:r>
                  <w:r w:rsidRPr="0010340F">
                    <w:rPr>
                      <w:rStyle w:val="Titolodellibro"/>
                      <w:rFonts w:cstheme="minorHAnsi"/>
                      <w:sz w:val="20"/>
                      <w:szCs w:val="20"/>
                      <w:lang w:val="en-US"/>
                    </w:rPr>
                    <w:t xml:space="preserve"> 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€</w:t>
                  </w:r>
                </w:p>
                <w:p w14:paraId="4E8C468C" w14:textId="34AE35EA" w:rsidR="00C30237" w:rsidRPr="0010340F" w:rsidRDefault="00C30237" w:rsidP="00C6253E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</w:tbl>
          <w:p w14:paraId="41FD27C4" w14:textId="361E6ACC" w:rsidR="00C6253E" w:rsidRPr="00C30237" w:rsidRDefault="00C6253E" w:rsidP="00C30237">
            <w:pPr>
              <w:pStyle w:val="Nessunaspaziatura"/>
              <w:rPr>
                <w:rStyle w:val="Titolodellibro"/>
                <w:rFonts w:cstheme="minorHAnsi"/>
                <w:sz w:val="20"/>
                <w:szCs w:val="20"/>
                <w:lang w:val="en-US"/>
              </w:rPr>
            </w:pPr>
          </w:p>
        </w:tc>
      </w:tr>
      <w:tr w:rsidR="00C6253E" w:rsidRPr="0010340F" w14:paraId="4C612006" w14:textId="77777777" w:rsidTr="00C6253E">
        <w:tc>
          <w:tcPr>
            <w:tcW w:w="4498" w:type="dxa"/>
          </w:tcPr>
          <w:p w14:paraId="22D7D726" w14:textId="41500091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 xml:space="preserve">Configuration 1 Processor </w:t>
            </w:r>
            <w:r w:rsidR="005523A4"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>with</w:t>
            </w: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 xml:space="preserve"> 20 cores </w:t>
            </w:r>
          </w:p>
        </w:tc>
        <w:tc>
          <w:tcPr>
            <w:tcW w:w="4410" w:type="dxa"/>
          </w:tcPr>
          <w:p w14:paraId="4D659064" w14:textId="35328934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 xml:space="preserve">Configuration 1  Processor </w:t>
            </w:r>
            <w:r w:rsidR="005523A4"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>with</w:t>
            </w: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 xml:space="preserve"> 16 core</w:t>
            </w:r>
            <w:r w:rsidR="005523A4"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highlight w:val="yellow"/>
                <w:lang w:val="en-US"/>
              </w:rPr>
              <w:t>s</w:t>
            </w:r>
          </w:p>
        </w:tc>
      </w:tr>
      <w:tr w:rsidR="00C6253E" w:rsidRPr="00C3120D" w14:paraId="24E3E1D1" w14:textId="77777777" w:rsidTr="00C6253E">
        <w:tc>
          <w:tcPr>
            <w:tcW w:w="4498" w:type="dxa"/>
          </w:tcPr>
          <w:p w14:paraId="45165BE6" w14:textId="0EFC27BB" w:rsidR="00C6253E" w:rsidRPr="0010340F" w:rsidRDefault="005523A4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Smart Value PowerEdge R440 Server Basic</w:t>
            </w:r>
          </w:p>
        </w:tc>
        <w:tc>
          <w:tcPr>
            <w:tcW w:w="4410" w:type="dxa"/>
          </w:tcPr>
          <w:p w14:paraId="05D0589B" w14:textId="77777777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Smart Value PowerEdge R440 Server Basic</w:t>
            </w:r>
          </w:p>
        </w:tc>
      </w:tr>
      <w:tr w:rsidR="00C6253E" w:rsidRPr="00C3120D" w14:paraId="3C0425C8" w14:textId="77777777" w:rsidTr="00C6253E">
        <w:tc>
          <w:tcPr>
            <w:tcW w:w="4498" w:type="dxa"/>
          </w:tcPr>
          <w:p w14:paraId="555AC88B" w14:textId="0D62B71D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  <w:t>1x Intel® Xeon® Gold 5218R 2.1G, 20C/40T</w:t>
            </w:r>
          </w:p>
        </w:tc>
        <w:tc>
          <w:tcPr>
            <w:tcW w:w="4410" w:type="dxa"/>
          </w:tcPr>
          <w:p w14:paraId="16CC707D" w14:textId="66C29751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de-DE"/>
              </w:rPr>
              <w:t>1x Intel® Xeon® Gold 5218 2.3G, 16C/32T</w:t>
            </w:r>
          </w:p>
        </w:tc>
      </w:tr>
      <w:tr w:rsidR="005523A4" w:rsidRPr="00C3120D" w14:paraId="02E900B1" w14:textId="77777777" w:rsidTr="00C6253E">
        <w:tc>
          <w:tcPr>
            <w:tcW w:w="4498" w:type="dxa"/>
          </w:tcPr>
          <w:p w14:paraId="062A303E" w14:textId="5CC3F52D" w:rsidR="005523A4" w:rsidRPr="0010340F" w:rsidRDefault="005523A4" w:rsidP="005523A4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2x 64GB RDIMM, 3200MT/s, Dual Rank</w:t>
            </w:r>
          </w:p>
        </w:tc>
        <w:tc>
          <w:tcPr>
            <w:tcW w:w="4410" w:type="dxa"/>
          </w:tcPr>
          <w:p w14:paraId="1B89720C" w14:textId="77777777" w:rsidR="005523A4" w:rsidRPr="0010340F" w:rsidRDefault="005523A4" w:rsidP="005523A4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  <w:lang w:val="en-US"/>
              </w:rPr>
              <w:t>2x 64GB RDIMM, 3200MT/s, Dual Rank</w:t>
            </w:r>
          </w:p>
        </w:tc>
      </w:tr>
      <w:tr w:rsidR="00C6253E" w:rsidRPr="0010340F" w14:paraId="268DE35D" w14:textId="77777777" w:rsidTr="00C6253E">
        <w:tc>
          <w:tcPr>
            <w:tcW w:w="4498" w:type="dxa"/>
          </w:tcPr>
          <w:tbl>
            <w:tblPr>
              <w:tblW w:w="36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0"/>
            </w:tblGrid>
            <w:tr w:rsidR="00C6253E" w:rsidRPr="0010340F" w14:paraId="19E54C8E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3FCC40F8" w14:textId="234C2E20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base  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5.318,13 €</w:t>
                  </w:r>
                </w:p>
              </w:tc>
            </w:tr>
            <w:tr w:rsidR="00C6253E" w:rsidRPr="0010340F" w14:paraId="55636040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0CB6A1A1" w14:textId="0C70A521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Risparmio 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2.030,35 € 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sconto 3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5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%</w:t>
                  </w:r>
                </w:p>
              </w:tc>
            </w:tr>
            <w:tr w:rsidR="00C6253E" w:rsidRPr="0010340F" w14:paraId="4EFADB81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60704B05" w14:textId="77777777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finale (DELL) </w:t>
                  </w:r>
                </w:p>
              </w:tc>
            </w:tr>
            <w:tr w:rsidR="00C6253E" w:rsidRPr="0010340F" w14:paraId="568868A0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08C3B1CB" w14:textId="46B474F2" w:rsidR="00C6253E" w:rsidRPr="0010340F" w:rsidRDefault="005523A4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3.287,78 €</w:t>
                  </w:r>
                </w:p>
              </w:tc>
            </w:tr>
          </w:tbl>
          <w:p w14:paraId="4A229E96" w14:textId="77777777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410" w:type="dxa"/>
          </w:tcPr>
          <w:tbl>
            <w:tblPr>
              <w:tblW w:w="36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60"/>
            </w:tblGrid>
            <w:tr w:rsidR="00C6253E" w:rsidRPr="0010340F" w14:paraId="5C0FD6FB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2D2ABFE1" w14:textId="4B9D06B6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base  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5.117,13 €</w:t>
                  </w:r>
                </w:p>
              </w:tc>
            </w:tr>
            <w:tr w:rsidR="00C6253E" w:rsidRPr="0010340F" w14:paraId="1DB37644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66B73685" w14:textId="32DD56FC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Risparmio </w:t>
                  </w:r>
                  <w:r w:rsidR="005523A4"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1.895,00 €- </w:t>
                  </w: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 – sconto 35%(</w:t>
                  </w:r>
                </w:p>
              </w:tc>
            </w:tr>
            <w:tr w:rsidR="00C6253E" w:rsidRPr="0010340F" w14:paraId="371638C6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08CCE267" w14:textId="77777777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 xml:space="preserve">Prezzo finale (DELL) </w:t>
                  </w:r>
                </w:p>
              </w:tc>
            </w:tr>
            <w:tr w:rsidR="00C6253E" w:rsidRPr="0010340F" w14:paraId="37F9ADB0" w14:textId="77777777" w:rsidTr="003327F7">
              <w:trPr>
                <w:trHeight w:val="288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vAlign w:val="center"/>
                  <w:hideMark/>
                </w:tcPr>
                <w:p w14:paraId="6A8CD5F9" w14:textId="718E1C8D" w:rsidR="00C6253E" w:rsidRPr="0010340F" w:rsidRDefault="00C6253E" w:rsidP="003327F7">
                  <w:pPr>
                    <w:pStyle w:val="Nessunaspaziatura"/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10340F">
                    <w:rPr>
                      <w:rStyle w:val="Titolodellibro"/>
                      <w:rFonts w:cstheme="minorHAnsi"/>
                      <w:b w:val="0"/>
                      <w:bCs w:val="0"/>
                      <w:sz w:val="20"/>
                      <w:szCs w:val="20"/>
                    </w:rPr>
                    <w:t>3.222,13 €</w:t>
                  </w:r>
                </w:p>
              </w:tc>
            </w:tr>
          </w:tbl>
          <w:p w14:paraId="008918ED" w14:textId="77777777" w:rsidR="00C6253E" w:rsidRPr="0010340F" w:rsidRDefault="00C6253E" w:rsidP="003327F7">
            <w:pPr>
              <w:pStyle w:val="Paragrafoelenco"/>
              <w:ind w:left="0"/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</w:rPr>
            </w:pPr>
          </w:p>
        </w:tc>
      </w:tr>
    </w:tbl>
    <w:p w14:paraId="7A274686" w14:textId="77777777" w:rsidR="00C6253E" w:rsidRPr="0010340F" w:rsidRDefault="00C6253E" w:rsidP="00C6253E">
      <w:pPr>
        <w:pStyle w:val="Paragrafoelenco"/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p w14:paraId="0B6000B7" w14:textId="6694DF74" w:rsidR="00C6253E" w:rsidRPr="0010340F" w:rsidRDefault="00323C5D" w:rsidP="00323C5D">
      <w:pPr>
        <w:pStyle w:val="Paragrafoelenco"/>
        <w:numPr>
          <w:ilvl w:val="0"/>
          <w:numId w:val="1"/>
        </w:numPr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10340F">
        <w:rPr>
          <w:rFonts w:cstheme="minorHAnsi"/>
          <w:b/>
          <w:bCs/>
          <w:sz w:val="20"/>
          <w:szCs w:val="20"/>
          <w:lang w:val="en-US"/>
        </w:rPr>
        <w:t>Find the price of two possible commercial Java Application Servers.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5"/>
        <w:gridCol w:w="4443"/>
      </w:tblGrid>
      <w:tr w:rsidR="005322CB" w:rsidRPr="0010340F" w14:paraId="4A3153CE" w14:textId="77777777" w:rsidTr="00323C5D">
        <w:tc>
          <w:tcPr>
            <w:tcW w:w="4814" w:type="dxa"/>
          </w:tcPr>
          <w:p w14:paraId="3DBEA3E4" w14:textId="18C7091A" w:rsidR="00323C5D" w:rsidRPr="0010340F" w:rsidRDefault="00323C5D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4814" w:type="dxa"/>
          </w:tcPr>
          <w:p w14:paraId="55A230A7" w14:textId="7FAEBC56" w:rsidR="00323C5D" w:rsidRPr="0010340F" w:rsidRDefault="00B85760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proofErr w:type="spellStart"/>
            <w:r w:rsidRPr="0010340F">
              <w:rPr>
                <w:rFonts w:cstheme="minorHAnsi"/>
                <w:b/>
                <w:bCs/>
                <w:sz w:val="20"/>
                <w:szCs w:val="20"/>
              </w:rPr>
              <w:t>WebLogic</w:t>
            </w:r>
            <w:proofErr w:type="spellEnd"/>
            <w:r w:rsidRPr="0010340F">
              <w:rPr>
                <w:rFonts w:cstheme="minorHAnsi"/>
                <w:b/>
                <w:bCs/>
                <w:sz w:val="20"/>
                <w:szCs w:val="20"/>
              </w:rPr>
              <w:t xml:space="preserve"> Server Enterprise Edition</w:t>
            </w:r>
            <w:r w:rsidRPr="0010340F">
              <w:rPr>
                <w:rFonts w:cstheme="minorHAnsi"/>
                <w:sz w:val="20"/>
                <w:szCs w:val="20"/>
              </w:rPr>
              <w:t xml:space="preserve"> (ORACLE)</w:t>
            </w:r>
          </w:p>
        </w:tc>
      </w:tr>
      <w:tr w:rsidR="005322CB" w:rsidRPr="0010340F" w14:paraId="544D270F" w14:textId="77777777" w:rsidTr="00323C5D">
        <w:tc>
          <w:tcPr>
            <w:tcW w:w="4814" w:type="dxa"/>
          </w:tcPr>
          <w:p w14:paraId="6168D735" w14:textId="6C07D861" w:rsidR="00323C5D" w:rsidRPr="0010340F" w:rsidRDefault="005A236C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proofErr w:type="spellStart"/>
            <w:r w:rsidRPr="0010340F">
              <w:rPr>
                <w:rFonts w:cstheme="minorHAnsi"/>
                <w:sz w:val="20"/>
                <w:szCs w:val="20"/>
              </w:rPr>
              <w:t>Acquisition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Cost</w:t>
            </w:r>
          </w:p>
        </w:tc>
        <w:tc>
          <w:tcPr>
            <w:tcW w:w="4814" w:type="dxa"/>
          </w:tcPr>
          <w:p w14:paraId="0E14F023" w14:textId="641E8531" w:rsidR="00323C5D" w:rsidRPr="0010340F" w:rsidRDefault="00ED4A9D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Processor License cost :</w:t>
            </w:r>
            <w:r w:rsidR="00BA4D3F" w:rsidRPr="0010340F">
              <w:rPr>
                <w:rFonts w:cstheme="minorHAnsi"/>
                <w:sz w:val="20"/>
                <w:szCs w:val="20"/>
              </w:rPr>
              <w:t xml:space="preserve"> 21325,00 </w:t>
            </w:r>
            <w:r w:rsidR="003024F0"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</w:rPr>
              <w:t>€</w:t>
            </w:r>
            <w:r w:rsidR="00BA4D3F" w:rsidRPr="0010340F">
              <w:rPr>
                <w:rFonts w:cstheme="minorHAnsi"/>
                <w:sz w:val="20"/>
                <w:szCs w:val="20"/>
              </w:rPr>
              <w:br/>
            </w:r>
          </w:p>
        </w:tc>
      </w:tr>
      <w:tr w:rsidR="005322CB" w:rsidRPr="0010340F" w14:paraId="0F288BBE" w14:textId="77777777" w:rsidTr="00323C5D">
        <w:tc>
          <w:tcPr>
            <w:tcW w:w="4814" w:type="dxa"/>
          </w:tcPr>
          <w:p w14:paraId="2EE05B11" w14:textId="210E1FAE" w:rsidR="00323C5D" w:rsidRPr="0010340F" w:rsidRDefault="005A236C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Maintenance Cost and when it is applied</w:t>
            </w:r>
          </w:p>
        </w:tc>
        <w:tc>
          <w:tcPr>
            <w:tcW w:w="4814" w:type="dxa"/>
          </w:tcPr>
          <w:p w14:paraId="7012753D" w14:textId="179ED1C9" w:rsidR="00323C5D" w:rsidRPr="0010340F" w:rsidRDefault="0095160F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Software Update License &amp; Support : 4691,50</w:t>
            </w:r>
            <w:r w:rsidR="003024F0" w:rsidRPr="0010340F">
              <w:rPr>
                <w:rStyle w:val="Titolodellibro"/>
                <w:rFonts w:cstheme="minorHAnsi"/>
                <w:b w:val="0"/>
                <w:bCs w:val="0"/>
                <w:sz w:val="20"/>
                <w:szCs w:val="20"/>
              </w:rPr>
              <w:t>€</w:t>
            </w:r>
          </w:p>
        </w:tc>
      </w:tr>
      <w:tr w:rsidR="005322CB" w:rsidRPr="0010340F" w14:paraId="112362F7" w14:textId="77777777" w:rsidTr="00323C5D">
        <w:tc>
          <w:tcPr>
            <w:tcW w:w="4814" w:type="dxa"/>
          </w:tcPr>
          <w:p w14:paraId="21859EC3" w14:textId="39B296A6" w:rsidR="00323C5D" w:rsidRPr="0010340F" w:rsidRDefault="005A236C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Discount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if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4814" w:type="dxa"/>
          </w:tcPr>
          <w:p w14:paraId="1E287529" w14:textId="0C032364" w:rsidR="00323C5D" w:rsidRPr="0010340F" w:rsidRDefault="005322CB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No</w:t>
            </w:r>
          </w:p>
        </w:tc>
      </w:tr>
      <w:tr w:rsidR="005322CB" w:rsidRPr="0010340F" w14:paraId="4B83A55E" w14:textId="77777777" w:rsidTr="00323C5D">
        <w:tc>
          <w:tcPr>
            <w:tcW w:w="4814" w:type="dxa"/>
          </w:tcPr>
          <w:p w14:paraId="0085CDD7" w14:textId="484EB8BB" w:rsidR="005A236C" w:rsidRPr="0010340F" w:rsidRDefault="00156260" w:rsidP="00323C5D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The unit of measure used to calculate the cost of this software (by core, Processor, Server, PVU,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10340F">
              <w:rPr>
                <w:rFonts w:cstheme="minorHAnsi"/>
                <w:sz w:val="20"/>
                <w:szCs w:val="20"/>
                <w:lang w:val="en-US"/>
              </w:rPr>
              <w:t>) and if there are conversion factors or price depending by range (such as up to 3 servers or up to 2 cores)</w:t>
            </w:r>
          </w:p>
        </w:tc>
        <w:tc>
          <w:tcPr>
            <w:tcW w:w="4814" w:type="dxa"/>
          </w:tcPr>
          <w:p w14:paraId="2836706C" w14:textId="3132546C" w:rsidR="005A236C" w:rsidRPr="0010340F" w:rsidRDefault="005322CB" w:rsidP="00323C5D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 xml:space="preserve">Unit of measure : </w:t>
            </w:r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>Processor</w:t>
            </w:r>
          </w:p>
        </w:tc>
      </w:tr>
    </w:tbl>
    <w:p w14:paraId="784D590D" w14:textId="3647B9CC" w:rsidR="00323C5D" w:rsidRPr="0010340F" w:rsidRDefault="00323C5D" w:rsidP="00323C5D">
      <w:pPr>
        <w:pStyle w:val="Paragrafoelenco"/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p w14:paraId="78AF9D6C" w14:textId="04374208" w:rsidR="00156260" w:rsidRPr="0010340F" w:rsidRDefault="00156260" w:rsidP="00323C5D">
      <w:pPr>
        <w:pStyle w:val="Paragrafoelenco"/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947"/>
      </w:tblGrid>
      <w:tr w:rsidR="00156260" w:rsidRPr="0010340F" w14:paraId="62D67191" w14:textId="77777777" w:rsidTr="00E93E56">
        <w:tc>
          <w:tcPr>
            <w:tcW w:w="2961" w:type="dxa"/>
          </w:tcPr>
          <w:p w14:paraId="58A25EB0" w14:textId="77777777" w:rsidR="00156260" w:rsidRPr="0010340F" w:rsidRDefault="00156260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5947" w:type="dxa"/>
          </w:tcPr>
          <w:p w14:paraId="681759A1" w14:textId="530EC1E9" w:rsidR="00CC5186" w:rsidRPr="0010340F" w:rsidRDefault="00204140" w:rsidP="003327F7">
            <w:pPr>
              <w:pStyle w:val="Paragrafoelenco"/>
              <w:ind w:left="0"/>
              <w:rPr>
                <w:rStyle w:val="Enfasiintensa"/>
                <w:rFonts w:cstheme="minorHAnsi"/>
                <w:b/>
                <w:bCs/>
                <w:color w:val="00B0F0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 xml:space="preserve">IBM </w:t>
            </w:r>
            <w:proofErr w:type="spellStart"/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>websphere</w:t>
            </w:r>
            <w:proofErr w:type="spellEnd"/>
          </w:p>
        </w:tc>
      </w:tr>
      <w:tr w:rsidR="00156260" w:rsidRPr="00C3120D" w14:paraId="67CD94E7" w14:textId="77777777" w:rsidTr="00E93E56">
        <w:tc>
          <w:tcPr>
            <w:tcW w:w="2961" w:type="dxa"/>
          </w:tcPr>
          <w:p w14:paraId="57CFC016" w14:textId="68BB832A" w:rsidR="00156260" w:rsidRPr="0010340F" w:rsidRDefault="00156260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fr-FR"/>
              </w:rPr>
            </w:pPr>
            <w:r w:rsidRPr="0010340F">
              <w:rPr>
                <w:rFonts w:cstheme="minorHAnsi"/>
                <w:sz w:val="20"/>
                <w:szCs w:val="20"/>
                <w:lang w:val="fr-FR"/>
              </w:rPr>
              <w:t xml:space="preserve">Acquisition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fr-FR"/>
              </w:rPr>
              <w:t>Cost</w:t>
            </w:r>
            <w:proofErr w:type="spellEnd"/>
            <w:r w:rsidR="00FB761C" w:rsidRPr="0010340F">
              <w:rPr>
                <w:rFonts w:cstheme="minorHAnsi"/>
                <w:sz w:val="20"/>
                <w:szCs w:val="20"/>
                <w:lang w:val="fr-FR"/>
              </w:rPr>
              <w:t xml:space="preserve"> (</w:t>
            </w:r>
            <w:proofErr w:type="spellStart"/>
            <w:r w:rsidR="00FB761C" w:rsidRPr="0010340F">
              <w:rPr>
                <w:rFonts w:cstheme="minorHAnsi"/>
                <w:sz w:val="20"/>
                <w:szCs w:val="20"/>
                <w:lang w:val="fr-FR"/>
              </w:rPr>
              <w:t>Perpetual</w:t>
            </w:r>
            <w:proofErr w:type="spellEnd"/>
            <w:r w:rsidR="00FB761C" w:rsidRPr="0010340F">
              <w:rPr>
                <w:rFonts w:cstheme="minorHAnsi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FB761C" w:rsidRPr="0010340F">
              <w:rPr>
                <w:rFonts w:cstheme="minorHAnsi"/>
                <w:sz w:val="20"/>
                <w:szCs w:val="20"/>
                <w:lang w:val="fr-FR"/>
              </w:rPr>
              <w:t>licenses</w:t>
            </w:r>
            <w:proofErr w:type="spellEnd"/>
            <w:r w:rsidR="00FB761C" w:rsidRPr="0010340F">
              <w:rPr>
                <w:rFonts w:cstheme="minorHAnsi"/>
                <w:sz w:val="20"/>
                <w:szCs w:val="20"/>
                <w:lang w:val="fr-FR"/>
              </w:rPr>
              <w:t>)</w:t>
            </w:r>
            <w:r w:rsidR="00CA7D56" w:rsidRPr="0010340F">
              <w:rPr>
                <w:rFonts w:cstheme="minorHAnsi"/>
                <w:sz w:val="20"/>
                <w:szCs w:val="20"/>
                <w:lang w:val="fr-FR"/>
              </w:rPr>
              <w:t xml:space="preserve"> + Maintenance </w:t>
            </w:r>
            <w:proofErr w:type="spellStart"/>
            <w:r w:rsidR="00CA7D56" w:rsidRPr="0010340F">
              <w:rPr>
                <w:rFonts w:cstheme="minorHAnsi"/>
                <w:sz w:val="20"/>
                <w:szCs w:val="20"/>
                <w:lang w:val="fr-FR"/>
              </w:rPr>
              <w:t>Cost</w:t>
            </w:r>
            <w:proofErr w:type="spellEnd"/>
          </w:p>
        </w:tc>
        <w:tc>
          <w:tcPr>
            <w:tcW w:w="5947" w:type="dxa"/>
          </w:tcPr>
          <w:p w14:paraId="67E2820F" w14:textId="77777777" w:rsidR="00CA7D56" w:rsidRPr="0010340F" w:rsidRDefault="00CC73C8" w:rsidP="00CA7D56">
            <w:pPr>
              <w:pStyle w:val="Paragrafoelenco"/>
              <w:numPr>
                <w:ilvl w:val="0"/>
                <w:numId w:val="3"/>
              </w:numPr>
              <w:rPr>
                <w:rStyle w:val="Enfasicorsivo"/>
                <w:rFonts w:cstheme="minorHAnsi"/>
                <w:sz w:val="20"/>
                <w:szCs w:val="20"/>
              </w:rPr>
            </w:pPr>
            <w:r w:rsidRPr="0010340F">
              <w:rPr>
                <w:rStyle w:val="Enfasicorsivo"/>
                <w:rFonts w:cstheme="minorHAnsi"/>
                <w:sz w:val="20"/>
                <w:szCs w:val="20"/>
              </w:rPr>
              <w:t xml:space="preserve">IBM </w:t>
            </w:r>
            <w:proofErr w:type="spellStart"/>
            <w:r w:rsidRPr="0010340F">
              <w:rPr>
                <w:rStyle w:val="Enfasicorsivo"/>
                <w:rFonts w:cstheme="minorHAnsi"/>
                <w:sz w:val="20"/>
                <w:szCs w:val="20"/>
              </w:rPr>
              <w:t>WebSphere</w:t>
            </w:r>
            <w:proofErr w:type="spellEnd"/>
            <w:r w:rsidRPr="0010340F">
              <w:rPr>
                <w:rStyle w:val="Enfasicorsivo"/>
                <w:rFonts w:cstheme="minorHAnsi"/>
                <w:sz w:val="20"/>
                <w:szCs w:val="20"/>
              </w:rPr>
              <w:t> Application Server Processor Value Unit (</w:t>
            </w:r>
            <w:r w:rsidRPr="0010340F">
              <w:rPr>
                <w:rStyle w:val="Enfasicorsivo"/>
                <w:rFonts w:cstheme="minorHAnsi"/>
                <w:b/>
                <w:bCs/>
                <w:sz w:val="20"/>
                <w:szCs w:val="20"/>
              </w:rPr>
              <w:t>PVU</w:t>
            </w:r>
            <w:r w:rsidRPr="0010340F">
              <w:rPr>
                <w:rStyle w:val="Enfasicorsivo"/>
                <w:rFonts w:cstheme="minorHAnsi"/>
                <w:sz w:val="20"/>
                <w:szCs w:val="20"/>
              </w:rPr>
              <w:t xml:space="preserve">) License + Software Subscription &amp; Support 12 </w:t>
            </w:r>
            <w:proofErr w:type="spellStart"/>
            <w:r w:rsidRPr="0010340F">
              <w:rPr>
                <w:rStyle w:val="Enfasicorsivo"/>
                <w:rFonts w:cstheme="minorHAnsi"/>
                <w:sz w:val="20"/>
                <w:szCs w:val="20"/>
              </w:rPr>
              <w:t>Months</w:t>
            </w:r>
            <w:proofErr w:type="spellEnd"/>
            <w:r w:rsidRPr="0010340F">
              <w:rPr>
                <w:rStyle w:val="Enfasicorsivo"/>
                <w:rFonts w:cstheme="minorHAnsi"/>
                <w:sz w:val="20"/>
                <w:szCs w:val="20"/>
              </w:rPr>
              <w:t xml:space="preserve"> – $</w:t>
            </w:r>
            <w:r w:rsidRPr="0010340F">
              <w:rPr>
                <w:rStyle w:val="Enfasicorsivo"/>
                <w:rFonts w:cstheme="minorHAnsi"/>
                <w:b/>
                <w:bCs/>
                <w:sz w:val="20"/>
                <w:szCs w:val="20"/>
              </w:rPr>
              <w:t>55.25</w:t>
            </w:r>
            <w:r w:rsidRPr="0010340F">
              <w:rPr>
                <w:rStyle w:val="Enfasicorsivo"/>
                <w:rFonts w:cstheme="minorHAnsi"/>
                <w:sz w:val="20"/>
                <w:szCs w:val="20"/>
              </w:rPr>
              <w:t>; </w:t>
            </w:r>
          </w:p>
          <w:p w14:paraId="5808E1DC" w14:textId="7FCC9E51" w:rsidR="00CA7D56" w:rsidRPr="0010340F" w:rsidRDefault="00CA7D56" w:rsidP="00CA7D56">
            <w:pPr>
              <w:pStyle w:val="Paragrafoelenco"/>
              <w:numPr>
                <w:ilvl w:val="0"/>
                <w:numId w:val="3"/>
              </w:numPr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IBM WebSphere Application Server Per Limited Use Socket License + Software Subscription &amp; Support 12 Months – </w:t>
            </w:r>
            <w:r w:rsidRPr="0010340F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  <w:lang w:val="en-US"/>
              </w:rPr>
              <w:t>$14,100.00</w:t>
            </w:r>
          </w:p>
        </w:tc>
      </w:tr>
      <w:tr w:rsidR="00156260" w:rsidRPr="0010340F" w14:paraId="4ED8F5F4" w14:textId="77777777" w:rsidTr="00E93E56">
        <w:tc>
          <w:tcPr>
            <w:tcW w:w="2961" w:type="dxa"/>
          </w:tcPr>
          <w:p w14:paraId="34FB4D28" w14:textId="77777777" w:rsidR="00156260" w:rsidRPr="0010340F" w:rsidRDefault="00156260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Discount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if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5947" w:type="dxa"/>
          </w:tcPr>
          <w:p w14:paraId="27CBC1DD" w14:textId="78C664AC" w:rsidR="00156260" w:rsidRPr="0010340F" w:rsidRDefault="009F68CD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No</w:t>
            </w:r>
          </w:p>
        </w:tc>
      </w:tr>
      <w:tr w:rsidR="00156260" w:rsidRPr="0010340F" w14:paraId="064950F4" w14:textId="77777777" w:rsidTr="00E93E56">
        <w:tc>
          <w:tcPr>
            <w:tcW w:w="2961" w:type="dxa"/>
          </w:tcPr>
          <w:p w14:paraId="74607418" w14:textId="77777777" w:rsidR="00156260" w:rsidRPr="0010340F" w:rsidRDefault="00156260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The unit of measure used to calculate the cost of this software (by core, Processor, Server, PVU,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10340F">
              <w:rPr>
                <w:rFonts w:cstheme="minorHAnsi"/>
                <w:sz w:val="20"/>
                <w:szCs w:val="20"/>
                <w:lang w:val="en-US"/>
              </w:rPr>
              <w:t>) and if there are conversion factors or price depending by range (such as up to 3 servers or up to 2 cores)</w:t>
            </w:r>
          </w:p>
        </w:tc>
        <w:tc>
          <w:tcPr>
            <w:tcW w:w="5947" w:type="dxa"/>
          </w:tcPr>
          <w:p w14:paraId="3352B07C" w14:textId="679FE94F" w:rsidR="00156260" w:rsidRPr="0010340F" w:rsidRDefault="009F68CD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PVU</w:t>
            </w:r>
            <w:r w:rsidR="00CA7D56"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 xml:space="preserve"> or Use Socket</w:t>
            </w:r>
          </w:p>
        </w:tc>
      </w:tr>
    </w:tbl>
    <w:p w14:paraId="56ECE1E1" w14:textId="1923310B" w:rsidR="00156260" w:rsidRPr="0010340F" w:rsidRDefault="00156260" w:rsidP="00323C5D">
      <w:pPr>
        <w:pStyle w:val="Paragrafoelenco"/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p w14:paraId="5BF16CBC" w14:textId="3DEB4AA6" w:rsidR="004E51FC" w:rsidRPr="0010340F" w:rsidRDefault="00564B3B" w:rsidP="008425FB">
      <w:pPr>
        <w:pStyle w:val="Paragrafoelenco"/>
        <w:numPr>
          <w:ilvl w:val="0"/>
          <w:numId w:val="1"/>
        </w:numPr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10340F">
        <w:rPr>
          <w:rFonts w:cstheme="minorHAnsi"/>
          <w:b/>
          <w:bCs/>
          <w:sz w:val="20"/>
          <w:szCs w:val="20"/>
          <w:lang w:val="en-US"/>
        </w:rPr>
        <w:lastRenderedPageBreak/>
        <w:t>Find the price of two possible Open Source Java Application Servers that provide Premium support 7x24.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460"/>
        <w:gridCol w:w="4448"/>
      </w:tblGrid>
      <w:tr w:rsidR="00D859D9" w:rsidRPr="00C3120D" w14:paraId="3179E64B" w14:textId="77777777" w:rsidTr="003327F7">
        <w:tc>
          <w:tcPr>
            <w:tcW w:w="4814" w:type="dxa"/>
          </w:tcPr>
          <w:p w14:paraId="57E5443C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4814" w:type="dxa"/>
          </w:tcPr>
          <w:p w14:paraId="117786C5" w14:textId="4CE64BB1" w:rsidR="004E51FC" w:rsidRPr="0010340F" w:rsidRDefault="007143F6" w:rsidP="003327F7">
            <w:pPr>
              <w:pStyle w:val="Paragrafoelenco"/>
              <w:ind w:left="0"/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b/>
                <w:bCs/>
                <w:sz w:val="20"/>
                <w:szCs w:val="20"/>
                <w:shd w:val="clear" w:color="auto" w:fill="F0F0F0"/>
                <w:lang w:val="en-US"/>
              </w:rPr>
              <w:t>Red Hat JBoss Enterprise Application Platform, 16-Core Premium </w:t>
            </w:r>
          </w:p>
        </w:tc>
      </w:tr>
      <w:tr w:rsidR="00D859D9" w:rsidRPr="0010340F" w14:paraId="5B2534C9" w14:textId="77777777" w:rsidTr="003327F7">
        <w:tc>
          <w:tcPr>
            <w:tcW w:w="4814" w:type="dxa"/>
          </w:tcPr>
          <w:p w14:paraId="2C84A3F6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proofErr w:type="spellStart"/>
            <w:r w:rsidRPr="0010340F">
              <w:rPr>
                <w:rFonts w:cstheme="minorHAnsi"/>
                <w:sz w:val="20"/>
                <w:szCs w:val="20"/>
              </w:rPr>
              <w:t>Acquisition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Cost</w:t>
            </w:r>
          </w:p>
        </w:tc>
        <w:tc>
          <w:tcPr>
            <w:tcW w:w="4814" w:type="dxa"/>
          </w:tcPr>
          <w:p w14:paraId="7792F09A" w14:textId="406B17E1" w:rsidR="007143F6" w:rsidRPr="0010340F" w:rsidRDefault="00C25A81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</w:rPr>
              <w:t>US</w:t>
            </w:r>
            <w:r w:rsidR="00D859D9" w:rsidRPr="0010340F">
              <w:rPr>
                <w:rStyle w:val="Enfasiintensa"/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</w:rPr>
              <w:t>$12,000.00</w:t>
            </w:r>
            <w:r w:rsidR="00D859D9" w:rsidRPr="0010340F">
              <w:rPr>
                <w:rStyle w:val="Enfasiintensa"/>
                <w:rFonts w:cstheme="minorHAnsi"/>
                <w:color w:val="auto"/>
                <w:sz w:val="20"/>
                <w:szCs w:val="20"/>
              </w:rPr>
              <w:t xml:space="preserve"> </w:t>
            </w:r>
          </w:p>
        </w:tc>
      </w:tr>
      <w:tr w:rsidR="00D859D9" w:rsidRPr="0010340F" w14:paraId="66E7DA8E" w14:textId="77777777" w:rsidTr="003327F7">
        <w:tc>
          <w:tcPr>
            <w:tcW w:w="4814" w:type="dxa"/>
          </w:tcPr>
          <w:p w14:paraId="3D66F223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Maintenance Cost and when it is applied</w:t>
            </w:r>
          </w:p>
        </w:tc>
        <w:tc>
          <w:tcPr>
            <w:tcW w:w="4814" w:type="dxa"/>
          </w:tcPr>
          <w:p w14:paraId="316410DE" w14:textId="2C285623" w:rsidR="004E51FC" w:rsidRPr="0010340F" w:rsidRDefault="00EC22BF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shd w:val="clear" w:color="auto" w:fill="FFFFFF"/>
                <w:lang w:val="en-US"/>
              </w:rPr>
              <w:t xml:space="preserve">  </w:t>
            </w:r>
            <w:proofErr w:type="spellStart"/>
            <w:r w:rsidR="00D859D9" w:rsidRPr="0010340F">
              <w:rPr>
                <w:rFonts w:cstheme="minorHAnsi"/>
                <w:sz w:val="20"/>
                <w:szCs w:val="20"/>
                <w:shd w:val="clear" w:color="auto" w:fill="FFFFFF"/>
              </w:rPr>
              <w:t>Included</w:t>
            </w:r>
            <w:proofErr w:type="spellEnd"/>
            <w:r w:rsidR="00D859D9" w:rsidRPr="0010340F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D859D9" w:rsidRPr="0010340F" w14:paraId="0AC2361C" w14:textId="77777777" w:rsidTr="003327F7">
        <w:tc>
          <w:tcPr>
            <w:tcW w:w="4814" w:type="dxa"/>
          </w:tcPr>
          <w:p w14:paraId="67B8657B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Discount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if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4814" w:type="dxa"/>
          </w:tcPr>
          <w:p w14:paraId="281A0F1B" w14:textId="2E362311" w:rsidR="004E51FC" w:rsidRPr="0010340F" w:rsidRDefault="00AA651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No</w:t>
            </w:r>
          </w:p>
        </w:tc>
      </w:tr>
      <w:tr w:rsidR="00D859D9" w:rsidRPr="00C3120D" w14:paraId="49A0395E" w14:textId="77777777" w:rsidTr="003327F7">
        <w:tc>
          <w:tcPr>
            <w:tcW w:w="4814" w:type="dxa"/>
          </w:tcPr>
          <w:p w14:paraId="57A28598" w14:textId="77777777" w:rsidR="004E51FC" w:rsidRPr="0010340F" w:rsidRDefault="004E51FC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The unit of measure used to calculate the cost of this software (by core, Processor, Server, PVU,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10340F">
              <w:rPr>
                <w:rFonts w:cstheme="minorHAnsi"/>
                <w:sz w:val="20"/>
                <w:szCs w:val="20"/>
                <w:lang w:val="en-US"/>
              </w:rPr>
              <w:t>) and if there are conversion factors or price depending by range (such as up to 3 servers or up to 2 cores)</w:t>
            </w:r>
          </w:p>
        </w:tc>
        <w:tc>
          <w:tcPr>
            <w:tcW w:w="4814" w:type="dxa"/>
          </w:tcPr>
          <w:p w14:paraId="10EC059E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</w:p>
        </w:tc>
      </w:tr>
    </w:tbl>
    <w:p w14:paraId="130F72D1" w14:textId="77777777" w:rsidR="004E51FC" w:rsidRPr="00070220" w:rsidRDefault="004E51FC" w:rsidP="00070220">
      <w:pPr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6231"/>
      </w:tblGrid>
      <w:tr w:rsidR="004E51FC" w:rsidRPr="0010340F" w14:paraId="397CC406" w14:textId="77777777" w:rsidTr="003327F7">
        <w:tc>
          <w:tcPr>
            <w:tcW w:w="2677" w:type="dxa"/>
          </w:tcPr>
          <w:p w14:paraId="52B48940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6231" w:type="dxa"/>
          </w:tcPr>
          <w:p w14:paraId="73024778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 xml:space="preserve">Resin caucho, 24x7 </w:t>
            </w:r>
          </w:p>
        </w:tc>
      </w:tr>
      <w:tr w:rsidR="004E51FC" w:rsidRPr="0010340F" w14:paraId="013F62E3" w14:textId="77777777" w:rsidTr="003327F7">
        <w:tc>
          <w:tcPr>
            <w:tcW w:w="2677" w:type="dxa"/>
          </w:tcPr>
          <w:p w14:paraId="0278F6B8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proofErr w:type="spellStart"/>
            <w:r w:rsidRPr="0010340F">
              <w:rPr>
                <w:rFonts w:cstheme="minorHAnsi"/>
                <w:sz w:val="20"/>
                <w:szCs w:val="20"/>
              </w:rPr>
              <w:t>Acquisition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Cost</w:t>
            </w:r>
          </w:p>
        </w:tc>
        <w:tc>
          <w:tcPr>
            <w:tcW w:w="6231" w:type="dxa"/>
          </w:tcPr>
          <w:tbl>
            <w:tblPr>
              <w:tblW w:w="562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39"/>
              <w:gridCol w:w="1834"/>
              <w:gridCol w:w="1651"/>
            </w:tblGrid>
            <w:tr w:rsidR="004E51FC" w:rsidRPr="0010340F" w14:paraId="3C724B5C" w14:textId="77777777" w:rsidTr="00737AC1">
              <w:trPr>
                <w:trHeight w:val="253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759DB0D4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  <w:t>4 core per CPU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D95B9DE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  <w:t>6 core per CPU</w:t>
                  </w:r>
                </w:p>
              </w:tc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4084600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  <w:t>8 core per CPU</w:t>
                  </w:r>
                </w:p>
              </w:tc>
            </w:tr>
            <w:tr w:rsidR="004E51FC" w:rsidRPr="0010340F" w14:paraId="3A700092" w14:textId="77777777" w:rsidTr="00737AC1">
              <w:trPr>
                <w:trHeight w:val="359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07C1EEB4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 xml:space="preserve">Starts </w:t>
                  </w:r>
                  <w:proofErr w:type="spellStart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at</w:t>
                  </w:r>
                  <w:proofErr w:type="spellEnd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 </w:t>
                  </w:r>
                  <w:r w:rsidRPr="0010340F"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  <w:t>$699</w:t>
                  </w: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 xml:space="preserve"> per </w:t>
                  </w:r>
                  <w:proofErr w:type="spellStart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year</w:t>
                  </w:r>
                  <w:proofErr w:type="spellEnd"/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5EF208B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 xml:space="preserve">Starts </w:t>
                  </w:r>
                  <w:proofErr w:type="spellStart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at</w:t>
                  </w:r>
                  <w:proofErr w:type="spellEnd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 </w:t>
                  </w:r>
                  <w:r w:rsidRPr="0010340F"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  <w:t>$999</w:t>
                  </w: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 xml:space="preserve"> per </w:t>
                  </w:r>
                  <w:proofErr w:type="spellStart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year</w:t>
                  </w:r>
                  <w:proofErr w:type="spellEnd"/>
                </w:p>
              </w:tc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1C05455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 xml:space="preserve">Starts </w:t>
                  </w:r>
                  <w:proofErr w:type="spellStart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at</w:t>
                  </w:r>
                  <w:proofErr w:type="spellEnd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 </w:t>
                  </w:r>
                  <w:r w:rsidRPr="0010340F">
                    <w:rPr>
                      <w:rFonts w:eastAsia="Times New Roman" w:cstheme="minorHAnsi"/>
                      <w:b/>
                      <w:bCs/>
                      <w:color w:val="444444"/>
                      <w:sz w:val="20"/>
                      <w:szCs w:val="20"/>
                      <w:lang w:eastAsia="it-IT"/>
                    </w:rPr>
                    <w:t>$1,499</w:t>
                  </w: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 xml:space="preserve"> per </w:t>
                  </w:r>
                  <w:proofErr w:type="spellStart"/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year</w:t>
                  </w:r>
                  <w:proofErr w:type="spellEnd"/>
                </w:p>
              </w:tc>
            </w:tr>
            <w:tr w:rsidR="004E51FC" w:rsidRPr="0010340F" w14:paraId="5A548B23" w14:textId="77777777" w:rsidTr="00737AC1">
              <w:trPr>
                <w:trHeight w:val="253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75D2A3A6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1-year - $699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2CDD0381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1-year - $999</w:t>
                  </w:r>
                </w:p>
              </w:tc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5DC2A6E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1-year - $1499</w:t>
                  </w:r>
                </w:p>
              </w:tc>
            </w:tr>
            <w:tr w:rsidR="004E51FC" w:rsidRPr="0010340F" w14:paraId="20698AB4" w14:textId="77777777" w:rsidTr="00737AC1">
              <w:trPr>
                <w:trHeight w:val="253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786A9AFF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2CC92E4F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D026856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</w:tr>
            <w:tr w:rsidR="004E51FC" w:rsidRPr="0010340F" w14:paraId="21448085" w14:textId="77777777" w:rsidTr="00737AC1">
              <w:trPr>
                <w:trHeight w:val="253"/>
              </w:trPr>
              <w:tc>
                <w:tcPr>
                  <w:tcW w:w="21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0BFADE9B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2-year - $1249</w:t>
                  </w:r>
                </w:p>
              </w:tc>
              <w:tc>
                <w:tcPr>
                  <w:tcW w:w="18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323A912A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2-year - $1799</w:t>
                  </w:r>
                </w:p>
              </w:tc>
              <w:tc>
                <w:tcPr>
                  <w:tcW w:w="1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hideMark/>
                </w:tcPr>
                <w:p w14:paraId="0BDFBC39" w14:textId="77777777" w:rsidR="004E51FC" w:rsidRPr="0010340F" w:rsidRDefault="004E51FC" w:rsidP="003327F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</w:pPr>
                  <w:r w:rsidRPr="0010340F">
                    <w:rPr>
                      <w:rFonts w:eastAsia="Times New Roman" w:cstheme="minorHAnsi"/>
                      <w:color w:val="444444"/>
                      <w:sz w:val="20"/>
                      <w:szCs w:val="20"/>
                      <w:lang w:eastAsia="it-IT"/>
                    </w:rPr>
                    <w:t>2-year - $2699</w:t>
                  </w:r>
                </w:p>
              </w:tc>
            </w:tr>
          </w:tbl>
          <w:p w14:paraId="5C032F6D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</w:p>
        </w:tc>
      </w:tr>
      <w:tr w:rsidR="004E51FC" w:rsidRPr="00C3120D" w14:paraId="5EB4BB1F" w14:textId="77777777" w:rsidTr="003327F7">
        <w:tc>
          <w:tcPr>
            <w:tcW w:w="2677" w:type="dxa"/>
          </w:tcPr>
          <w:p w14:paraId="77C13C5C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Maintenance Cost and when it is applied</w:t>
            </w:r>
          </w:p>
        </w:tc>
        <w:tc>
          <w:tcPr>
            <w:tcW w:w="6231" w:type="dxa"/>
          </w:tcPr>
          <w:p w14:paraId="4B358178" w14:textId="44A22A99" w:rsidR="004E51FC" w:rsidRPr="0010340F" w:rsidRDefault="00FE015D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highlight w:val="lightGray"/>
                <w:lang w:val="en-US"/>
              </w:rPr>
            </w:pPr>
            <w:r w:rsidRPr="0010340F">
              <w:rPr>
                <w:rFonts w:eastAsia="Times New Roman" w:cstheme="minorHAnsi"/>
                <w:sz w:val="20"/>
                <w:szCs w:val="20"/>
                <w:highlight w:val="lightGray"/>
                <w:lang w:val="en-US"/>
              </w:rPr>
              <w:t>$18,000/</w:t>
            </w:r>
            <w:proofErr w:type="spellStart"/>
            <w:r w:rsidRPr="0010340F">
              <w:rPr>
                <w:rFonts w:eastAsia="Times New Roman" w:cstheme="minorHAnsi"/>
                <w:sz w:val="20"/>
                <w:szCs w:val="20"/>
                <w:highlight w:val="lightGray"/>
                <w:lang w:val="en-US"/>
              </w:rPr>
              <w:t>yr</w:t>
            </w:r>
            <w:proofErr w:type="spellEnd"/>
            <w:r w:rsidRPr="0010340F">
              <w:rPr>
                <w:rFonts w:eastAsia="Times New Roman" w:cstheme="minorHAnsi"/>
                <w:sz w:val="20"/>
                <w:szCs w:val="20"/>
                <w:highlight w:val="lightGray"/>
                <w:lang w:val="en-US"/>
              </w:rPr>
              <w:t xml:space="preserve"> for up to 10 CPU</w:t>
            </w:r>
            <w:r w:rsidR="00C46664" w:rsidRPr="0010340F">
              <w:rPr>
                <w:rFonts w:eastAsia="Times New Roman" w:cstheme="minorHAnsi"/>
                <w:sz w:val="20"/>
                <w:szCs w:val="20"/>
                <w:highlight w:val="lightGray"/>
                <w:lang w:val="en-US"/>
              </w:rPr>
              <w:t xml:space="preserve"> (this </w:t>
            </w:r>
            <w:r w:rsidR="00615684" w:rsidRPr="0010340F">
              <w:rPr>
                <w:rFonts w:eastAsia="Times New Roman" w:cstheme="minorHAnsi"/>
                <w:sz w:val="20"/>
                <w:szCs w:val="20"/>
                <w:highlight w:val="lightGray"/>
                <w:lang w:val="en-US"/>
              </w:rPr>
              <w:t>information is provided by</w:t>
            </w:r>
          </w:p>
        </w:tc>
      </w:tr>
      <w:tr w:rsidR="004E51FC" w:rsidRPr="0010340F" w14:paraId="1F2CC74B" w14:textId="77777777" w:rsidTr="003327F7">
        <w:tc>
          <w:tcPr>
            <w:tcW w:w="2677" w:type="dxa"/>
          </w:tcPr>
          <w:p w14:paraId="567B8EFE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Discount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if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6231" w:type="dxa"/>
          </w:tcPr>
          <w:p w14:paraId="5D299457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NO</w:t>
            </w:r>
          </w:p>
        </w:tc>
      </w:tr>
      <w:tr w:rsidR="004E51FC" w:rsidRPr="00C3120D" w14:paraId="636D6C97" w14:textId="77777777" w:rsidTr="003327F7">
        <w:tc>
          <w:tcPr>
            <w:tcW w:w="2677" w:type="dxa"/>
          </w:tcPr>
          <w:p w14:paraId="13E63B20" w14:textId="77777777" w:rsidR="004E51FC" w:rsidRPr="0010340F" w:rsidRDefault="004E51FC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The unit of measure used to calculate the cost of this software (by core, Processor, Server, PVU,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10340F">
              <w:rPr>
                <w:rFonts w:cstheme="minorHAnsi"/>
                <w:sz w:val="20"/>
                <w:szCs w:val="20"/>
                <w:lang w:val="en-US"/>
              </w:rPr>
              <w:t>) and if there are conversion factors or price depending by range (such as up to 3 servers or up to 2 cores)</w:t>
            </w:r>
          </w:p>
        </w:tc>
        <w:tc>
          <w:tcPr>
            <w:tcW w:w="6231" w:type="dxa"/>
          </w:tcPr>
          <w:p w14:paraId="0276FAEB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Unit of measure  CORE.</w:t>
            </w:r>
          </w:p>
          <w:p w14:paraId="2984B701" w14:textId="77777777" w:rsidR="004E51FC" w:rsidRPr="0010340F" w:rsidRDefault="004E51FC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Conversion factors depends on range of core per CPU.</w:t>
            </w: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br/>
            </w:r>
          </w:p>
        </w:tc>
      </w:tr>
    </w:tbl>
    <w:p w14:paraId="77EBDBC8" w14:textId="069B958E" w:rsidR="004E51FC" w:rsidRPr="0010340F" w:rsidRDefault="004E51FC" w:rsidP="004E51FC">
      <w:pPr>
        <w:pStyle w:val="Paragrafoelenco"/>
        <w:rPr>
          <w:rStyle w:val="Enfasiintensa"/>
          <w:rFonts w:cstheme="minorHAnsi"/>
          <w:color w:val="auto"/>
          <w:sz w:val="20"/>
          <w:szCs w:val="20"/>
          <w:lang w:val="en-US"/>
        </w:rPr>
      </w:pPr>
    </w:p>
    <w:p w14:paraId="19C5147F" w14:textId="2A5CDFC8" w:rsidR="008425FB" w:rsidRPr="0010340F" w:rsidRDefault="008425FB" w:rsidP="008425FB">
      <w:pPr>
        <w:pStyle w:val="Paragrafoelenco"/>
        <w:numPr>
          <w:ilvl w:val="0"/>
          <w:numId w:val="1"/>
        </w:numPr>
        <w:rPr>
          <w:rStyle w:val="Enfasiintensa"/>
          <w:rFonts w:cstheme="minorHAnsi"/>
          <w:color w:val="auto"/>
          <w:sz w:val="20"/>
          <w:szCs w:val="20"/>
          <w:lang w:val="en-US"/>
        </w:rPr>
      </w:pPr>
      <w:r w:rsidRPr="0010340F">
        <w:rPr>
          <w:rFonts w:cstheme="minorHAnsi"/>
          <w:b/>
          <w:bCs/>
          <w:sz w:val="20"/>
          <w:szCs w:val="20"/>
          <w:lang w:val="en-US"/>
        </w:rPr>
        <w:t>Find the price of two possible commercial DB</w:t>
      </w:r>
      <w:r w:rsidRPr="0010340F">
        <w:rPr>
          <w:rFonts w:cstheme="minorHAnsi"/>
          <w:sz w:val="20"/>
          <w:szCs w:val="20"/>
          <w:lang w:val="en-US"/>
        </w:rPr>
        <w:t>.</w:t>
      </w:r>
    </w:p>
    <w:tbl>
      <w:tblPr>
        <w:tblStyle w:val="Grigliatabella"/>
        <w:tblW w:w="0" w:type="auto"/>
        <w:tblInd w:w="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7"/>
        <w:gridCol w:w="6231"/>
      </w:tblGrid>
      <w:tr w:rsidR="00055F97" w:rsidRPr="0010340F" w14:paraId="141AF93E" w14:textId="77777777" w:rsidTr="005819D8">
        <w:tc>
          <w:tcPr>
            <w:tcW w:w="2677" w:type="dxa"/>
            <w:shd w:val="clear" w:color="auto" w:fill="auto"/>
          </w:tcPr>
          <w:p w14:paraId="6CE87B0E" w14:textId="77777777" w:rsidR="00055F97" w:rsidRPr="0010340F" w:rsidRDefault="00055F97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6231" w:type="dxa"/>
            <w:shd w:val="clear" w:color="auto" w:fill="auto"/>
          </w:tcPr>
          <w:p w14:paraId="2DC5B0C3" w14:textId="322015F9" w:rsidR="00055F97" w:rsidRPr="0010340F" w:rsidRDefault="005C005D" w:rsidP="003327F7">
            <w:pPr>
              <w:pStyle w:val="Paragrafoelenco"/>
              <w:ind w:left="0"/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 w:rsidR="00E31938"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 xml:space="preserve">Microsoft SQL Server 2019 </w:t>
            </w:r>
            <w:r w:rsidR="000D6B8B"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>2 core</w:t>
            </w:r>
          </w:p>
        </w:tc>
      </w:tr>
      <w:tr w:rsidR="00055F97" w:rsidRPr="0010340F" w14:paraId="4B87E07F" w14:textId="77777777" w:rsidTr="005819D8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2677" w:type="dxa"/>
            <w:shd w:val="clear" w:color="auto" w:fill="auto"/>
          </w:tcPr>
          <w:p w14:paraId="69D86F2D" w14:textId="0390BE72" w:rsidR="00055F97" w:rsidRPr="0010340F" w:rsidRDefault="00055F97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Acquisition Cost</w:t>
            </w:r>
            <w:r w:rsidR="000D6B8B" w:rsidRPr="0010340F">
              <w:rPr>
                <w:rFonts w:cstheme="minorHAnsi"/>
                <w:sz w:val="20"/>
                <w:szCs w:val="20"/>
                <w:lang w:val="en-US"/>
              </w:rPr>
              <w:t>, and maintenance cost and when it’s applied</w:t>
            </w:r>
          </w:p>
        </w:tc>
        <w:tc>
          <w:tcPr>
            <w:tcW w:w="6231" w:type="dxa"/>
            <w:shd w:val="clear" w:color="auto" w:fill="auto"/>
          </w:tcPr>
          <w:p w14:paraId="00805228" w14:textId="77777777" w:rsidR="00560B68" w:rsidRPr="0010340F" w:rsidRDefault="000D6B8B" w:rsidP="00D15E10">
            <w:pPr>
              <w:rPr>
                <w:rStyle w:val="Enfasidelicata"/>
                <w:rFonts w:cstheme="minorHAnsi"/>
                <w:sz w:val="20"/>
                <w:szCs w:val="20"/>
              </w:rPr>
            </w:pPr>
            <w:r w:rsidRPr="0010340F">
              <w:rPr>
                <w:rStyle w:val="Enfasidelicata"/>
                <w:rFonts w:cstheme="minorHAnsi"/>
                <w:sz w:val="20"/>
                <w:szCs w:val="20"/>
              </w:rPr>
              <w:t>Enterprise $13, 748</w:t>
            </w:r>
          </w:p>
          <w:p w14:paraId="6D50B049" w14:textId="1255CC03" w:rsidR="000D6B8B" w:rsidRPr="0010340F" w:rsidRDefault="000D6B8B" w:rsidP="00D15E10">
            <w:pPr>
              <w:rPr>
                <w:rStyle w:val="Enfasidelicata"/>
                <w:rFonts w:cstheme="minorHAnsi"/>
                <w:sz w:val="20"/>
                <w:szCs w:val="20"/>
              </w:rPr>
            </w:pPr>
          </w:p>
        </w:tc>
      </w:tr>
      <w:tr w:rsidR="00055F97" w:rsidRPr="0010340F" w14:paraId="1BD373BE" w14:textId="77777777" w:rsidTr="005819D8">
        <w:tblPrEx>
          <w:tblCellMar>
            <w:left w:w="108" w:type="dxa"/>
            <w:right w:w="108" w:type="dxa"/>
          </w:tblCellMar>
        </w:tblPrEx>
        <w:tc>
          <w:tcPr>
            <w:tcW w:w="2677" w:type="dxa"/>
            <w:shd w:val="clear" w:color="auto" w:fill="auto"/>
          </w:tcPr>
          <w:p w14:paraId="2D6AAEB4" w14:textId="77777777" w:rsidR="00055F97" w:rsidRPr="0010340F" w:rsidRDefault="00055F97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Discount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if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6231" w:type="dxa"/>
            <w:shd w:val="clear" w:color="auto" w:fill="auto"/>
          </w:tcPr>
          <w:p w14:paraId="70BCF36C" w14:textId="77777777" w:rsidR="00055F97" w:rsidRPr="0010340F" w:rsidRDefault="00055F97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NO</w:t>
            </w:r>
          </w:p>
        </w:tc>
      </w:tr>
      <w:tr w:rsidR="00055F97" w:rsidRPr="0010340F" w14:paraId="074D170F" w14:textId="77777777" w:rsidTr="005819D8">
        <w:tblPrEx>
          <w:tblCellMar>
            <w:left w:w="108" w:type="dxa"/>
            <w:right w:w="108" w:type="dxa"/>
          </w:tblCellMar>
        </w:tblPrEx>
        <w:tc>
          <w:tcPr>
            <w:tcW w:w="2677" w:type="dxa"/>
            <w:shd w:val="clear" w:color="auto" w:fill="auto"/>
          </w:tcPr>
          <w:p w14:paraId="1A0BFD18" w14:textId="77777777" w:rsidR="00055F97" w:rsidRPr="0010340F" w:rsidRDefault="00055F97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The unit of measure used to calculate the cost of this software (by core, Processor, Server, PVU,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10340F">
              <w:rPr>
                <w:rFonts w:cstheme="minorHAnsi"/>
                <w:sz w:val="20"/>
                <w:szCs w:val="20"/>
                <w:lang w:val="en-US"/>
              </w:rPr>
              <w:t>) and if there are conversion factors or price depending by range (such as up to 3 servers or up to 2 cores)</w:t>
            </w:r>
          </w:p>
        </w:tc>
        <w:tc>
          <w:tcPr>
            <w:tcW w:w="6231" w:type="dxa"/>
            <w:shd w:val="clear" w:color="auto" w:fill="auto"/>
          </w:tcPr>
          <w:p w14:paraId="58F9369E" w14:textId="77777777" w:rsidR="00055F97" w:rsidRPr="0010340F" w:rsidRDefault="00055F97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Unit of measure  CORE.</w:t>
            </w:r>
          </w:p>
          <w:p w14:paraId="6BB12E60" w14:textId="2E6FCA86" w:rsidR="00055F97" w:rsidRPr="0010340F" w:rsidRDefault="00055F97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br/>
            </w:r>
          </w:p>
        </w:tc>
      </w:tr>
      <w:tr w:rsidR="005819D8" w:rsidRPr="0010340F" w14:paraId="58ED20BA" w14:textId="77777777" w:rsidTr="005819D8">
        <w:tblPrEx>
          <w:tblCellMar>
            <w:left w:w="108" w:type="dxa"/>
            <w:right w:w="108" w:type="dxa"/>
          </w:tblCellMar>
        </w:tblPrEx>
        <w:tc>
          <w:tcPr>
            <w:tcW w:w="2677" w:type="dxa"/>
          </w:tcPr>
          <w:p w14:paraId="0000E1C9" w14:textId="77777777" w:rsidR="005819D8" w:rsidRPr="0010340F" w:rsidRDefault="005819D8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6231" w:type="dxa"/>
          </w:tcPr>
          <w:p w14:paraId="3CE283F5" w14:textId="246AA853" w:rsidR="005819D8" w:rsidRPr="0010340F" w:rsidRDefault="005819D8" w:rsidP="003327F7">
            <w:pPr>
              <w:pStyle w:val="Paragrafoelenco"/>
              <w:ind w:left="0"/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 w:rsidR="00234CF7" w:rsidRPr="0010340F">
              <w:rPr>
                <w:rFonts w:cstheme="minorHAnsi"/>
                <w:b/>
                <w:bCs/>
                <w:sz w:val="20"/>
                <w:szCs w:val="20"/>
              </w:rPr>
              <w:t>Oracle Database</w:t>
            </w:r>
            <w:r w:rsidR="00014225" w:rsidRPr="0010340F">
              <w:rPr>
                <w:rFonts w:cstheme="minorHAnsi"/>
                <w:b/>
                <w:bCs/>
                <w:sz w:val="20"/>
                <w:szCs w:val="20"/>
              </w:rPr>
              <w:t>, Enterprise Edition</w:t>
            </w:r>
          </w:p>
        </w:tc>
      </w:tr>
      <w:tr w:rsidR="005819D8" w:rsidRPr="0010340F" w14:paraId="3523774C" w14:textId="77777777" w:rsidTr="005819D8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2677" w:type="dxa"/>
          </w:tcPr>
          <w:p w14:paraId="1C0D5537" w14:textId="77777777" w:rsidR="005819D8" w:rsidRPr="0010340F" w:rsidRDefault="005819D8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Acquisition Cost, and maintenance cost and when it’s applied</w:t>
            </w:r>
          </w:p>
        </w:tc>
        <w:tc>
          <w:tcPr>
            <w:tcW w:w="6231" w:type="dxa"/>
          </w:tcPr>
          <w:p w14:paraId="58F93907" w14:textId="17ACAC59" w:rsidR="003C3CDF" w:rsidRPr="0010340F" w:rsidRDefault="00C2511E" w:rsidP="003327F7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Processor License </w:t>
            </w:r>
            <w:r w:rsidR="003C3CDF" w:rsidRPr="0010340F">
              <w:rPr>
                <w:rStyle w:val="Enfasidelicata"/>
                <w:rFonts w:cstheme="minorHAnsi"/>
                <w:sz w:val="20"/>
                <w:szCs w:val="20"/>
              </w:rPr>
              <w:t>$</w:t>
            </w:r>
            <w:r w:rsidRPr="0010340F">
              <w:rPr>
                <w:rFonts w:cstheme="minorHAnsi"/>
                <w:sz w:val="20"/>
                <w:szCs w:val="20"/>
              </w:rPr>
              <w:t xml:space="preserve">47,500 </w:t>
            </w:r>
          </w:p>
          <w:p w14:paraId="5A421B70" w14:textId="28CC2A99" w:rsidR="00EB4C85" w:rsidRPr="0010340F" w:rsidRDefault="00C2511E" w:rsidP="00EB4C85">
            <w:pPr>
              <w:pStyle w:val="Paragrafoelenco"/>
              <w:numPr>
                <w:ilvl w:val="0"/>
                <w:numId w:val="3"/>
              </w:numPr>
              <w:rPr>
                <w:rStyle w:val="Enfasidelicata"/>
                <w:rFonts w:cstheme="minorHAnsi"/>
                <w:i w:val="0"/>
                <w:iCs w:val="0"/>
                <w:color w:val="auto"/>
                <w:sz w:val="20"/>
                <w:szCs w:val="20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Software Update License &amp; Support </w:t>
            </w:r>
            <w:r w:rsidR="003C3CDF" w:rsidRPr="0010340F">
              <w:rPr>
                <w:rStyle w:val="Enfasidelicata"/>
                <w:rFonts w:cstheme="minorHAnsi"/>
                <w:sz w:val="20"/>
                <w:szCs w:val="20"/>
              </w:rPr>
              <w:t>$</w:t>
            </w:r>
            <w:r w:rsidRPr="0010340F">
              <w:rPr>
                <w:rFonts w:cstheme="minorHAnsi"/>
                <w:sz w:val="20"/>
                <w:szCs w:val="20"/>
              </w:rPr>
              <w:t>10,450.00</w:t>
            </w:r>
          </w:p>
        </w:tc>
      </w:tr>
      <w:tr w:rsidR="005819D8" w:rsidRPr="0010340F" w14:paraId="74C90AD9" w14:textId="77777777" w:rsidTr="005819D8">
        <w:tblPrEx>
          <w:tblCellMar>
            <w:left w:w="108" w:type="dxa"/>
            <w:right w:w="108" w:type="dxa"/>
          </w:tblCellMar>
        </w:tblPrEx>
        <w:tc>
          <w:tcPr>
            <w:tcW w:w="2677" w:type="dxa"/>
          </w:tcPr>
          <w:p w14:paraId="2CA46FC2" w14:textId="77777777" w:rsidR="005819D8" w:rsidRPr="0010340F" w:rsidRDefault="005819D8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</w:rPr>
              <w:t xml:space="preserve">Discount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if</w:t>
            </w:r>
            <w:proofErr w:type="spellEnd"/>
            <w:r w:rsidRPr="0010340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0340F">
              <w:rPr>
                <w:rFonts w:cstheme="minorHAnsi"/>
                <w:sz w:val="20"/>
                <w:szCs w:val="20"/>
              </w:rPr>
              <w:t>available</w:t>
            </w:r>
            <w:proofErr w:type="spellEnd"/>
          </w:p>
        </w:tc>
        <w:tc>
          <w:tcPr>
            <w:tcW w:w="6231" w:type="dxa"/>
          </w:tcPr>
          <w:p w14:paraId="3B603474" w14:textId="28A86FAF" w:rsidR="005819D8" w:rsidRPr="0010340F" w:rsidRDefault="00754B22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75%</w:t>
            </w:r>
          </w:p>
        </w:tc>
      </w:tr>
      <w:tr w:rsidR="005819D8" w:rsidRPr="00C3120D" w14:paraId="1C182990" w14:textId="77777777" w:rsidTr="005819D8">
        <w:tblPrEx>
          <w:tblCellMar>
            <w:left w:w="108" w:type="dxa"/>
            <w:right w:w="108" w:type="dxa"/>
          </w:tblCellMar>
        </w:tblPrEx>
        <w:tc>
          <w:tcPr>
            <w:tcW w:w="2677" w:type="dxa"/>
          </w:tcPr>
          <w:p w14:paraId="5FB21653" w14:textId="77777777" w:rsidR="005819D8" w:rsidRPr="0010340F" w:rsidRDefault="005819D8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The unit of measure used to calculate the cost of this software (by core, Processor, Server, PVU, </w:t>
            </w:r>
            <w:proofErr w:type="spellStart"/>
            <w:r w:rsidRPr="0010340F">
              <w:rPr>
                <w:rFonts w:cstheme="minorHAnsi"/>
                <w:sz w:val="20"/>
                <w:szCs w:val="20"/>
                <w:lang w:val="en-US"/>
              </w:rPr>
              <w:t>etc</w:t>
            </w:r>
            <w:proofErr w:type="spellEnd"/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) and if there are conversion factors or price depending by range </w:t>
            </w:r>
            <w:r w:rsidRPr="0010340F">
              <w:rPr>
                <w:rFonts w:cstheme="minorHAnsi"/>
                <w:sz w:val="20"/>
                <w:szCs w:val="20"/>
                <w:lang w:val="en-US"/>
              </w:rPr>
              <w:lastRenderedPageBreak/>
              <w:t>(such as up to 3 servers or up to 2 cores)</w:t>
            </w:r>
          </w:p>
        </w:tc>
        <w:tc>
          <w:tcPr>
            <w:tcW w:w="6231" w:type="dxa"/>
          </w:tcPr>
          <w:p w14:paraId="4E0F52C8" w14:textId="7306E9A4" w:rsidR="005819D8" w:rsidRPr="0010340F" w:rsidRDefault="005819D8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lastRenderedPageBreak/>
              <w:t xml:space="preserve">Unit of measure  </w:t>
            </w:r>
            <w:r w:rsidR="003C3CDF"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Processor</w:t>
            </w: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t>.</w:t>
            </w:r>
          </w:p>
          <w:p w14:paraId="66F99EE1" w14:textId="77777777" w:rsidR="004140CE" w:rsidRPr="0010340F" w:rsidRDefault="005819D8" w:rsidP="003327F7">
            <w:pPr>
              <w:pStyle w:val="Paragrafoelenco"/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10340F"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  <w:br/>
            </w:r>
            <w:r w:rsidR="00EB4C85" w:rsidRPr="0010340F">
              <w:rPr>
                <w:rFonts w:cstheme="minorHAnsi"/>
                <w:sz w:val="20"/>
                <w:szCs w:val="20"/>
                <w:lang w:val="en-US"/>
              </w:rPr>
              <w:t xml:space="preserve">Oracle Database Enterprise Edition and Oracle RAC are licensed on a </w:t>
            </w:r>
            <w:r w:rsidR="00EB4C85" w:rsidRPr="0010340F">
              <w:rPr>
                <w:rFonts w:cstheme="minorHAnsi"/>
                <w:b/>
                <w:bCs/>
                <w:sz w:val="20"/>
                <w:szCs w:val="20"/>
                <w:lang w:val="en-US"/>
              </w:rPr>
              <w:t>per-processor-core</w:t>
            </w:r>
            <w:r w:rsidR="00EB4C85" w:rsidRPr="0010340F">
              <w:rPr>
                <w:rFonts w:cstheme="minorHAnsi"/>
                <w:sz w:val="20"/>
                <w:szCs w:val="20"/>
                <w:lang w:val="en-US"/>
              </w:rPr>
              <w:t xml:space="preserve"> basis, with different processor cores licensed on a weighted basis (called a</w:t>
            </w:r>
            <w:r w:rsidR="00EB4C85" w:rsidRPr="0010340F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Core Factor</w:t>
            </w:r>
            <w:r w:rsidR="00EB4C85" w:rsidRPr="0010340F">
              <w:rPr>
                <w:rFonts w:cstheme="minorHAnsi"/>
                <w:sz w:val="20"/>
                <w:szCs w:val="20"/>
                <w:lang w:val="en-US"/>
              </w:rPr>
              <w:t xml:space="preserve">). For example, </w:t>
            </w:r>
            <w:r w:rsidR="004140CE" w:rsidRPr="0010340F">
              <w:rPr>
                <w:rFonts w:cstheme="minorHAnsi"/>
                <w:sz w:val="20"/>
                <w:szCs w:val="20"/>
                <w:lang w:val="en-US"/>
              </w:rPr>
              <w:t>an</w:t>
            </w:r>
            <w:r w:rsidR="00EB4C85" w:rsidRPr="0010340F">
              <w:rPr>
                <w:rFonts w:cstheme="minorHAnsi"/>
                <w:sz w:val="20"/>
                <w:szCs w:val="20"/>
                <w:lang w:val="en-US"/>
              </w:rPr>
              <w:t xml:space="preserve"> Intel® Xeon® processor has a </w:t>
            </w:r>
            <w:r w:rsidR="00EB4C85" w:rsidRPr="0010340F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Core Factor of 0.5.</w:t>
            </w:r>
          </w:p>
          <w:p w14:paraId="6E4A2B7D" w14:textId="77777777" w:rsidR="004140CE" w:rsidRPr="0010340F" w:rsidRDefault="00EB4C85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 The licensing formula is: </w:t>
            </w:r>
          </w:p>
          <w:p w14:paraId="1A5F6B19" w14:textId="77777777" w:rsidR="005819D8" w:rsidRPr="0010340F" w:rsidRDefault="00EB4C85" w:rsidP="003327F7">
            <w:pPr>
              <w:pStyle w:val="Paragrafoelenco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>Number of processors * Core Factor * price per core = license costs</w:t>
            </w:r>
          </w:p>
          <w:p w14:paraId="5EBAB80F" w14:textId="77777777" w:rsidR="004140CE" w:rsidRPr="0010340F" w:rsidRDefault="004140CE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</w:p>
          <w:p w14:paraId="3CE79A53" w14:textId="2FF0FE33" w:rsidR="004140CE" w:rsidRPr="0010340F" w:rsidRDefault="0046540A" w:rsidP="003327F7">
            <w:pPr>
              <w:pStyle w:val="Paragrafoelenco"/>
              <w:ind w:left="0"/>
              <w:rPr>
                <w:rStyle w:val="Enfasiintensa"/>
                <w:rFonts w:cstheme="minorHAnsi"/>
                <w:color w:val="auto"/>
                <w:sz w:val="20"/>
                <w:szCs w:val="20"/>
                <w:lang w:val="en-US"/>
              </w:rPr>
            </w:pP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An Oracle Database requiring </w:t>
            </w:r>
            <w:r w:rsidRPr="0010340F">
              <w:rPr>
                <w:rFonts w:cstheme="minorHAnsi"/>
                <w:b/>
                <w:bCs/>
                <w:sz w:val="20"/>
                <w:szCs w:val="20"/>
                <w:lang w:val="en-US"/>
              </w:rPr>
              <w:t>20 processors</w:t>
            </w: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 on an Intel Xeon platform (Core Factor = 0.5) would cost 20 * 0.5 * </w:t>
            </w:r>
            <w:r w:rsidRPr="0010340F">
              <w:rPr>
                <w:rFonts w:cstheme="minorHAnsi"/>
                <w:b/>
                <w:bCs/>
                <w:sz w:val="20"/>
                <w:szCs w:val="20"/>
                <w:lang w:val="en-US"/>
              </w:rPr>
              <w:t>10,000</w:t>
            </w:r>
            <w:r w:rsidRPr="0010340F">
              <w:rPr>
                <w:rFonts w:cstheme="minorHAnsi"/>
                <w:sz w:val="20"/>
                <w:szCs w:val="20"/>
                <w:lang w:val="en-US"/>
              </w:rPr>
              <w:t xml:space="preserve"> = $100,000 USD with annual maintenance of $22,000 and a five-year TCO of $210,000 USD.</w:t>
            </w:r>
          </w:p>
        </w:tc>
      </w:tr>
    </w:tbl>
    <w:p w14:paraId="59F389E3" w14:textId="6EFDBCDA" w:rsidR="00C3120D" w:rsidRDefault="00C3120D" w:rsidP="00A44D56"/>
    <w:p w14:paraId="0C02AF08" w14:textId="37332914" w:rsidR="00814972" w:rsidRPr="00230FE4" w:rsidRDefault="00814972" w:rsidP="00DA18BD">
      <w:pPr>
        <w:rPr>
          <w:rStyle w:val="Riferimentodelicato"/>
          <w:rFonts w:cstheme="minorHAnsi"/>
          <w:sz w:val="24"/>
          <w:szCs w:val="24"/>
        </w:rPr>
      </w:pPr>
    </w:p>
    <w:sectPr w:rsidR="00814972" w:rsidRPr="00230FE4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1F07C" w14:textId="77777777" w:rsidR="00F67F1E" w:rsidRDefault="00F67F1E" w:rsidP="00C6253E">
      <w:pPr>
        <w:spacing w:after="0" w:line="240" w:lineRule="auto"/>
      </w:pPr>
      <w:r>
        <w:separator/>
      </w:r>
    </w:p>
  </w:endnote>
  <w:endnote w:type="continuationSeparator" w:id="0">
    <w:p w14:paraId="008817EE" w14:textId="77777777" w:rsidR="00F67F1E" w:rsidRDefault="00F67F1E" w:rsidP="00C6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313B7" w14:textId="77777777" w:rsidR="00F67F1E" w:rsidRDefault="00F67F1E" w:rsidP="00C6253E">
      <w:pPr>
        <w:spacing w:after="0" w:line="240" w:lineRule="auto"/>
      </w:pPr>
      <w:r>
        <w:separator/>
      </w:r>
    </w:p>
  </w:footnote>
  <w:footnote w:type="continuationSeparator" w:id="0">
    <w:p w14:paraId="4C0944A4" w14:textId="77777777" w:rsidR="00F67F1E" w:rsidRDefault="00F67F1E" w:rsidP="00C6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36CA1" w14:textId="0B3C8F4E" w:rsidR="00C6253E" w:rsidRDefault="00C6253E">
    <w:pPr>
      <w:pStyle w:val="Intestazione"/>
    </w:pPr>
    <w:r>
      <w:t>Martina Salvati 0292307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0B7F"/>
    <w:multiLevelType w:val="hybridMultilevel"/>
    <w:tmpl w:val="1EA02F84"/>
    <w:lvl w:ilvl="0" w:tplc="0AD275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78A9"/>
    <w:multiLevelType w:val="hybridMultilevel"/>
    <w:tmpl w:val="42145EA2"/>
    <w:lvl w:ilvl="0" w:tplc="CC4C2B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A7CCB"/>
    <w:multiLevelType w:val="hybridMultilevel"/>
    <w:tmpl w:val="2AB4C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85D"/>
    <w:multiLevelType w:val="hybridMultilevel"/>
    <w:tmpl w:val="8CBA3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3E"/>
    <w:rsid w:val="00014225"/>
    <w:rsid w:val="0004398C"/>
    <w:rsid w:val="00055F97"/>
    <w:rsid w:val="00070220"/>
    <w:rsid w:val="000957C6"/>
    <w:rsid w:val="000B03BC"/>
    <w:rsid w:val="000D6B8B"/>
    <w:rsid w:val="0010340F"/>
    <w:rsid w:val="00156260"/>
    <w:rsid w:val="001925C5"/>
    <w:rsid w:val="001D3D57"/>
    <w:rsid w:val="001F10C9"/>
    <w:rsid w:val="001F4F32"/>
    <w:rsid w:val="00204140"/>
    <w:rsid w:val="00230FE4"/>
    <w:rsid w:val="00234CF7"/>
    <w:rsid w:val="003024F0"/>
    <w:rsid w:val="0030459F"/>
    <w:rsid w:val="00323C5D"/>
    <w:rsid w:val="0037202C"/>
    <w:rsid w:val="003C3CDF"/>
    <w:rsid w:val="003F4744"/>
    <w:rsid w:val="004140CE"/>
    <w:rsid w:val="0046540A"/>
    <w:rsid w:val="004E51FC"/>
    <w:rsid w:val="00500B37"/>
    <w:rsid w:val="005322CB"/>
    <w:rsid w:val="005523A4"/>
    <w:rsid w:val="00560B68"/>
    <w:rsid w:val="00564B3B"/>
    <w:rsid w:val="005819D8"/>
    <w:rsid w:val="00593D8F"/>
    <w:rsid w:val="005A236C"/>
    <w:rsid w:val="005C005D"/>
    <w:rsid w:val="005D6FBE"/>
    <w:rsid w:val="00615684"/>
    <w:rsid w:val="006A0F7A"/>
    <w:rsid w:val="007143F6"/>
    <w:rsid w:val="00737AC1"/>
    <w:rsid w:val="00754B22"/>
    <w:rsid w:val="007C43BE"/>
    <w:rsid w:val="00813B87"/>
    <w:rsid w:val="00814972"/>
    <w:rsid w:val="008425FB"/>
    <w:rsid w:val="008D4EAE"/>
    <w:rsid w:val="00925058"/>
    <w:rsid w:val="00927630"/>
    <w:rsid w:val="0095160F"/>
    <w:rsid w:val="00966705"/>
    <w:rsid w:val="00994B84"/>
    <w:rsid w:val="009B1947"/>
    <w:rsid w:val="009E54D0"/>
    <w:rsid w:val="009F68CD"/>
    <w:rsid w:val="00A44D56"/>
    <w:rsid w:val="00AA651C"/>
    <w:rsid w:val="00B72787"/>
    <w:rsid w:val="00B81D4A"/>
    <w:rsid w:val="00B85760"/>
    <w:rsid w:val="00BA4D3F"/>
    <w:rsid w:val="00BF4E54"/>
    <w:rsid w:val="00C143CF"/>
    <w:rsid w:val="00C2511E"/>
    <w:rsid w:val="00C25A81"/>
    <w:rsid w:val="00C30237"/>
    <w:rsid w:val="00C3120D"/>
    <w:rsid w:val="00C46664"/>
    <w:rsid w:val="00C6253E"/>
    <w:rsid w:val="00CA7D56"/>
    <w:rsid w:val="00CC5186"/>
    <w:rsid w:val="00CC73C8"/>
    <w:rsid w:val="00D15E10"/>
    <w:rsid w:val="00D675F1"/>
    <w:rsid w:val="00D859D9"/>
    <w:rsid w:val="00D92242"/>
    <w:rsid w:val="00DA18BD"/>
    <w:rsid w:val="00E034FD"/>
    <w:rsid w:val="00E31938"/>
    <w:rsid w:val="00E93E56"/>
    <w:rsid w:val="00EB4C85"/>
    <w:rsid w:val="00EC22BF"/>
    <w:rsid w:val="00EC4DAC"/>
    <w:rsid w:val="00ED4A9D"/>
    <w:rsid w:val="00F34862"/>
    <w:rsid w:val="00F67F1E"/>
    <w:rsid w:val="00FA7665"/>
    <w:rsid w:val="00FB761C"/>
    <w:rsid w:val="00FC3FC9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73C7"/>
  <w15:chartTrackingRefBased/>
  <w15:docId w15:val="{9AF0B7B3-7D03-47DC-8185-EBCF80BE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625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253E"/>
  </w:style>
  <w:style w:type="paragraph" w:styleId="Pidipagina">
    <w:name w:val="footer"/>
    <w:basedOn w:val="Normale"/>
    <w:link w:val="PidipaginaCarattere"/>
    <w:uiPriority w:val="99"/>
    <w:unhideWhenUsed/>
    <w:rsid w:val="00C625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253E"/>
  </w:style>
  <w:style w:type="paragraph" w:styleId="Paragrafoelenco">
    <w:name w:val="List Paragraph"/>
    <w:basedOn w:val="Normale"/>
    <w:uiPriority w:val="34"/>
    <w:qFormat/>
    <w:rsid w:val="00C625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253E"/>
    <w:rPr>
      <w:i/>
      <w:iCs/>
      <w:color w:val="4472C4" w:themeColor="accent1"/>
    </w:rPr>
  </w:style>
  <w:style w:type="table" w:styleId="Grigliatabella">
    <w:name w:val="Table Grid"/>
    <w:basedOn w:val="Tabellanormale"/>
    <w:uiPriority w:val="39"/>
    <w:rsid w:val="00C6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C6253E"/>
    <w:pPr>
      <w:spacing w:after="0" w:line="240" w:lineRule="auto"/>
    </w:pPr>
  </w:style>
  <w:style w:type="character" w:styleId="Titolodellibro">
    <w:name w:val="Book Title"/>
    <w:basedOn w:val="Carpredefinitoparagrafo"/>
    <w:uiPriority w:val="33"/>
    <w:qFormat/>
    <w:rsid w:val="00C6253E"/>
    <w:rPr>
      <w:b/>
      <w:bCs/>
      <w:i/>
      <w:iCs/>
      <w:spacing w:val="5"/>
    </w:rPr>
  </w:style>
  <w:style w:type="character" w:styleId="Enfasigrassetto">
    <w:name w:val="Strong"/>
    <w:basedOn w:val="Carpredefinitoparagrafo"/>
    <w:uiPriority w:val="22"/>
    <w:qFormat/>
    <w:rsid w:val="00CC5186"/>
    <w:rPr>
      <w:b/>
      <w:bCs/>
    </w:rPr>
  </w:style>
  <w:style w:type="character" w:styleId="Enfasicorsivo">
    <w:name w:val="Emphasis"/>
    <w:basedOn w:val="Carpredefinitoparagrafo"/>
    <w:uiPriority w:val="20"/>
    <w:qFormat/>
    <w:rsid w:val="00CC5186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C25A81"/>
    <w:rPr>
      <w:i/>
      <w:iCs/>
      <w:color w:val="404040" w:themeColor="text1" w:themeTint="BF"/>
    </w:rPr>
  </w:style>
  <w:style w:type="table" w:styleId="Tabellasemplice5">
    <w:name w:val="Plain Table 5"/>
    <w:basedOn w:val="Tabellanormale"/>
    <w:uiPriority w:val="45"/>
    <w:rsid w:val="001925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F4744"/>
    <w:rPr>
      <w:color w:val="0000FF"/>
      <w:u w:val="single"/>
    </w:rPr>
  </w:style>
  <w:style w:type="character" w:styleId="Riferimentointenso">
    <w:name w:val="Intense Reference"/>
    <w:basedOn w:val="Carpredefinitoparagrafo"/>
    <w:uiPriority w:val="32"/>
    <w:qFormat/>
    <w:rsid w:val="00814972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DA18B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A6F0-A9B5-4323-9B2E-AF97E2249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Salvati</dc:creator>
  <cp:keywords/>
  <dc:description/>
  <cp:lastModifiedBy>Martina Salvati</cp:lastModifiedBy>
  <cp:revision>32</cp:revision>
  <dcterms:created xsi:type="dcterms:W3CDTF">2021-03-30T20:59:00Z</dcterms:created>
  <dcterms:modified xsi:type="dcterms:W3CDTF">2021-04-02T12:10:00Z</dcterms:modified>
</cp:coreProperties>
</file>