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001141"/>
          <w:sz w:val="56"/>
        </w:rPr>
        <w:t>IBM HR ANALYTICS</w:t>
      </w:r>
    </w:p>
    <w:p>
      <w:pPr>
        <w:jc w:val="center"/>
      </w:pPr>
      <w:r>
        <w:rPr>
          <w:b/>
          <w:color w:val="0F62FE"/>
          <w:sz w:val="40"/>
        </w:rPr>
        <w:t>Employee Attrition Analysis</w:t>
      </w:r>
    </w:p>
    <w:p/>
    <w:p/>
    <w:p>
      <w:pPr>
        <w:jc w:val="center"/>
      </w:pPr>
      <w:r>
        <w:rPr>
          <w:b w:val="0"/>
          <w:color w:val="1F2328"/>
          <w:sz w:val="28"/>
        </w:rPr>
        <w:t>Machine Learning Project Report</w:t>
      </w:r>
    </w:p>
    <w:p>
      <w:pPr>
        <w:jc w:val="center"/>
      </w:pPr>
      <w:r>
        <w:rPr>
          <w:b w:val="0"/>
          <w:color w:val="1F2328"/>
          <w:sz w:val="24"/>
        </w:rPr>
      </w:r>
    </w:p>
    <w:p>
      <w:pPr>
        <w:jc w:val="center"/>
      </w:pPr>
      <w:r>
        <w:rPr>
          <w:b/>
          <w:color w:val="001141"/>
          <w:sz w:val="24"/>
        </w:rPr>
        <w:t>Submitted by:</w:t>
      </w:r>
    </w:p>
    <w:p>
      <w:pPr>
        <w:jc w:val="center"/>
      </w:pPr>
      <w:r>
        <w:rPr>
          <w:b/>
          <w:color w:val="001141"/>
          <w:sz w:val="28"/>
        </w:rPr>
        <w:t>Mohammed Sameer Khazi</w:t>
      </w:r>
    </w:p>
    <w:p>
      <w:pPr>
        <w:jc w:val="center"/>
      </w:pPr>
      <w:r>
        <w:rPr>
          <w:b w:val="0"/>
          <w:color w:val="1F2328"/>
          <w:sz w:val="24"/>
        </w:rPr>
      </w:r>
    </w:p>
    <w:p>
      <w:pPr>
        <w:jc w:val="center"/>
      </w:pPr>
      <w:r>
        <w:rPr>
          <w:b/>
          <w:color w:val="001141"/>
          <w:sz w:val="24"/>
        </w:rPr>
        <w:t>Programme:</w:t>
      </w:r>
    </w:p>
    <w:p>
      <w:pPr>
        <w:jc w:val="center"/>
      </w:pPr>
      <w:r>
        <w:rPr>
          <w:b w:val="0"/>
          <w:color w:val="1F2328"/>
          <w:sz w:val="24"/>
        </w:rPr>
        <w:t>AICTE | IBM SkillsBuild Data Analytics with AI 2026</w:t>
      </w:r>
    </w:p>
    <w:p>
      <w:pPr>
        <w:jc w:val="center"/>
      </w:pPr>
      <w:r>
        <w:rPr>
          <w:b w:val="0"/>
          <w:color w:val="1F2328"/>
          <w:sz w:val="24"/>
        </w:rPr>
      </w:r>
    </w:p>
    <w:p>
      <w:pPr>
        <w:jc w:val="center"/>
      </w:pPr>
      <w:r>
        <w:rPr>
          <w:b/>
          <w:color w:val="001141"/>
          <w:sz w:val="24"/>
        </w:rPr>
        <w:t>Submission Date:</w:t>
      </w:r>
    </w:p>
    <w:p>
      <w:pPr>
        <w:jc w:val="center"/>
      </w:pPr>
      <w:r>
        <w:rPr>
          <w:b w:val="0"/>
          <w:color w:val="1F2328"/>
          <w:sz w:val="24"/>
        </w:rPr>
        <w:t>September 2026</w:t>
      </w:r>
    </w:p>
    <w:p>
      <w:pPr>
        <w:jc w:val="center"/>
      </w:pPr>
      <w:r>
        <w:rPr>
          <w:b w:val="0"/>
          <w:color w:val="1F2328"/>
          <w:sz w:val="24"/>
        </w:rPr>
      </w:r>
    </w:p>
    <w:p>
      <w:pPr>
        <w:jc w:val="center"/>
      </w:pPr>
      <w:r>
        <w:rPr>
          <w:b/>
          <w:color w:val="001141"/>
          <w:sz w:val="24"/>
        </w:rPr>
        <w:t>Dataset:</w:t>
      </w:r>
    </w:p>
    <w:p>
      <w:pPr>
        <w:jc w:val="center"/>
      </w:pPr>
      <w:r>
        <w:rPr>
          <w:b w:val="0"/>
          <w:color w:val="1F2328"/>
          <w:sz w:val="24"/>
        </w:rPr>
        <w:t>IBM HR Analytics Employee Attrition &amp; Performance</w:t>
      </w:r>
    </w:p>
    <w:p>
      <w:r>
        <w:br w:type="page"/>
      </w:r>
    </w:p>
    <w:p>
      <w:pPr>
        <w:pStyle w:val="Heading1"/>
        <w:spacing w:before="320" w:after="120"/>
      </w:pPr>
      <w:r>
        <w:rPr>
          <w:b/>
          <w:color w:val="001141"/>
        </w:rPr>
        <w:t>Executive Summary</w:t>
      </w:r>
    </w:p>
    <w:p>
      <w:pPr>
        <w:spacing w:after="80"/>
      </w:pPr>
      <w:r>
        <w:rPr>
          <w:b w:val="0"/>
          <w:i w:val="0"/>
          <w:color w:val="1F2328"/>
          <w:sz w:val="22"/>
        </w:rPr>
        <w:t>Problem: The company has a 16.12% employee attrition rate, which is substantially above a healthy benchmark and is causing significant workforce disruption.</w:t>
      </w:r>
    </w:p>
    <w:p>
      <w:pPr>
        <w:spacing w:after="80"/>
      </w:pPr>
      <w:r>
        <w:rPr>
          <w:b w:val="0"/>
          <w:i w:val="0"/>
          <w:color w:val="1F2328"/>
          <w:sz w:val="22"/>
        </w:rPr>
        <w:t>Solution: A full ML pipeline was built using a Flask API for predictions and a Streamlit dashboard for interactive HR analysis and employee risk monitoring.</w:t>
      </w:r>
    </w:p>
    <w:p>
      <w:pPr>
        <w:spacing w:after="80"/>
      </w:pPr>
      <w:r>
        <w:rPr>
          <w:b w:val="0"/>
          <w:i w:val="0"/>
          <w:color w:val="1F2328"/>
          <w:sz w:val="22"/>
        </w:rPr>
        <w:t>Models: XGBoost delivered the best performance with 90.08% accuracy and 96.86% ROC-AUC. Random Forest was also evaluated and deployed because its feature importances are more interpretable for HR stakeholders.</w:t>
      </w:r>
    </w:p>
    <w:p>
      <w:pPr>
        <w:spacing w:after="80"/>
      </w:pPr>
      <w:r>
        <w:rPr>
          <w:b w:val="0"/>
          <w:i w:val="0"/>
          <w:color w:val="1F2328"/>
          <w:sz w:val="22"/>
        </w:rPr>
        <w:t>Finding: Sales department employees are the most at risk, with approximately 40% classified as high risk in the Employee Risk Table.</w:t>
      </w:r>
    </w:p>
    <w:p>
      <w:pPr>
        <w:spacing w:after="80"/>
      </w:pPr>
      <w:r>
        <w:rPr>
          <w:b w:val="0"/>
          <w:i w:val="0"/>
          <w:color w:val="1F2328"/>
          <w:sz w:val="22"/>
        </w:rPr>
        <w:t>Impact: 247 high-risk employees were identified out of 1,470 total employees, enabling targeted retention actions and proactive intervention.</w:t>
      </w:r>
    </w:p>
    <w:p>
      <w:pPr>
        <w:spacing w:after="80"/>
      </w:pPr>
      <w:r>
        <w:rPr>
          <w:b w:val="0"/>
          <w:i w:val="0"/>
          <w:color w:val="1F2328"/>
          <w:sz w:val="22"/>
        </w:rPr>
        <w:t>Output: The project includes 5 Streamlit pages and 10 API endpoints for prediction, analysis, and business reporting.</w:t>
      </w:r>
    </w:p>
    <w:p>
      <w:r>
        <w:br w:type="page"/>
      </w:r>
    </w:p>
    <w:p>
      <w:pPr>
        <w:pStyle w:val="Heading1"/>
        <w:spacing w:before="320" w:after="120"/>
      </w:pPr>
      <w:r>
        <w:rPr>
          <w:b/>
          <w:color w:val="001141"/>
        </w:rPr>
        <w:t>1. Introduction &amp; Objective</w:t>
      </w:r>
    </w:p>
    <w:p>
      <w:pPr>
        <w:spacing w:after="80"/>
      </w:pPr>
      <w:r>
        <w:rPr>
          <w:b w:val="0"/>
          <w:i w:val="0"/>
          <w:color w:val="1F2328"/>
          <w:sz w:val="22"/>
        </w:rPr>
        <w:t>Employee attrition — the voluntary or involuntary departure of employees — is one of the most costly challenges facing modern organisations. Studies estimate replacing an employee costs between 50% and 200% of their annual salary, accounting for recruitment, onboarding, lost productivity, and knowledge transfer.</w:t>
      </w:r>
    </w:p>
    <w:p>
      <w:pPr>
        <w:spacing w:after="80"/>
      </w:pPr>
      <w:r>
        <w:rPr>
          <w:b w:val="0"/>
          <w:i w:val="0"/>
          <w:color w:val="1F2328"/>
          <w:sz w:val="22"/>
        </w:rPr>
        <w:t>This project builds an end-to-end machine learning pipeline to predict whether an employee is likely to leave the company. The solution uses the IBM HR Analytics dataset, applies exploratory data analysis, SMOTE-based class balancing, and a Random Forest classifier, then deploys the model via a Flask REST API and a Streamlit interactive dashboard.</w:t>
      </w:r>
    </w:p>
    <w:p>
      <w:pPr>
        <w:pStyle w:val="Heading2"/>
        <w:spacing w:before="200" w:after="80"/>
      </w:pPr>
      <w:r>
        <w:rPr>
          <w:b/>
          <w:color w:val="0F62FE"/>
        </w:rPr>
        <w:t>1.1 Objectives</w:t>
      </w:r>
    </w:p>
    <w:p>
      <w:pPr>
        <w:pStyle w:val="ListBullet"/>
        <w:spacing w:after="60"/>
      </w:pPr>
      <w:r>
        <w:rPr>
          <w:sz w:val="22"/>
        </w:rPr>
        <w:t>Perform thorough EDA on the IBM HR Analytics dataset to uncover attrition drivers.</w:t>
      </w:r>
    </w:p>
    <w:p>
      <w:pPr>
        <w:pStyle w:val="ListBullet"/>
        <w:spacing w:after="60"/>
      </w:pPr>
      <w:r>
        <w:rPr>
          <w:sz w:val="22"/>
        </w:rPr>
        <w:t>Clean and preprocess data: encode categoricals, drop redundant features, handle imbalance.</w:t>
      </w:r>
    </w:p>
    <w:p>
      <w:pPr>
        <w:pStyle w:val="ListBullet"/>
        <w:spacing w:after="60"/>
      </w:pPr>
      <w:r>
        <w:rPr>
          <w:sz w:val="22"/>
        </w:rPr>
        <w:t>Train and evaluate a Random Forest Classifier to predict employee attrition.</w:t>
      </w:r>
    </w:p>
    <w:p>
      <w:pPr>
        <w:pStyle w:val="ListBullet"/>
        <w:spacing w:after="60"/>
      </w:pPr>
      <w:r>
        <w:rPr>
          <w:sz w:val="22"/>
        </w:rPr>
        <w:t>Deploy the model as a Flask REST API with 10 endpoints.</w:t>
      </w:r>
    </w:p>
    <w:p>
      <w:pPr>
        <w:pStyle w:val="ListBullet"/>
        <w:spacing w:after="60"/>
      </w:pPr>
      <w:r>
        <w:rPr>
          <w:sz w:val="22"/>
        </w:rPr>
        <w:t>Build an interactive Streamlit dashboard with IBM blue/dark theme.</w:t>
      </w:r>
    </w:p>
    <w:p>
      <w:pPr>
        <w:pStyle w:val="ListBullet"/>
        <w:spacing w:after="60"/>
      </w:pPr>
      <w:r>
        <w:rPr>
          <w:sz w:val="22"/>
        </w:rPr>
        <w:t>Document findings in a professional project report.</w:t>
      </w:r>
    </w:p>
    <w:p>
      <w:r>
        <w:br w:type="page"/>
      </w:r>
    </w:p>
    <w:p>
      <w:pPr>
        <w:pStyle w:val="Heading1"/>
        <w:spacing w:before="320" w:after="120"/>
      </w:pPr>
      <w:r>
        <w:rPr>
          <w:b/>
          <w:color w:val="001141"/>
        </w:rPr>
        <w:t>2. Dataset Description</w:t>
      </w:r>
    </w:p>
    <w:p>
      <w:pPr>
        <w:spacing w:after="80"/>
      </w:pPr>
      <w:r>
        <w:rPr>
          <w:b w:val="0"/>
          <w:i w:val="0"/>
          <w:color w:val="1F2328"/>
          <w:sz w:val="22"/>
        </w:rPr>
        <w:t>Source: IBM HR Analytics Employee Attrition &amp; Performance</w:t>
      </w:r>
    </w:p>
    <w:p>
      <w:pPr>
        <w:spacing w:after="80"/>
      </w:pPr>
      <w:r>
        <w:rPr>
          <w:b w:val="0"/>
          <w:i w:val="0"/>
          <w:color w:val="1F2328"/>
          <w:sz w:val="22"/>
        </w:rPr>
        <w:t>Kaggle Link: https://www.kaggle.com/datasets/pavansubhasht/ibm-hr-analytics-attrition-dataset</w:t>
      </w:r>
    </w:p>
    <w:p>
      <w:pPr>
        <w:spacing w:after="80"/>
      </w:pPr>
      <w:r>
        <w:rPr>
          <w:b w:val="0"/>
          <w:i w:val="0"/>
          <w:color w:val="1F2328"/>
          <w:sz w:val="22"/>
        </w:rPr>
        <w:t>File: WA_Fn-UseC_-HR-Employee-Attrition.csv</w:t>
      </w:r>
    </w:p>
    <w:p/>
    <w:tbl>
      <w:tblPr>
        <w:tblStyle w:val="TableGrid"/>
        <w:tblW w:type="auto" w:w="0"/>
        <w:tblLook w:firstColumn="1" w:firstRow="1" w:lastColumn="0" w:lastRow="0" w:noHBand="0" w:noVBand="1" w:val="04A0"/>
      </w:tblPr>
      <w:tblGrid>
        <w:gridCol w:w="4703"/>
        <w:gridCol w:w="4703"/>
      </w:tblGrid>
      <w:tr>
        <w:tc>
          <w:tcPr>
            <w:tcW w:type="dxa" w:w="4703"/>
            <w:shd w:val="clear" w:color="auto" w:fill="0f62fe"/>
          </w:tcPr>
          <w:p>
            <w:pPr>
              <w:jc w:val="center"/>
            </w:pPr>
            <w:r>
              <w:rPr>
                <w:b/>
                <w:color w:val="FFFFFF"/>
                <w:sz w:val="20"/>
              </w:rPr>
              <w:t>Attribute</w:t>
            </w:r>
          </w:p>
        </w:tc>
        <w:tc>
          <w:tcPr>
            <w:tcW w:type="dxa" w:w="4703"/>
            <w:shd w:val="clear" w:color="auto" w:fill="0f62fe"/>
          </w:tcPr>
          <w:p>
            <w:pPr>
              <w:jc w:val="center"/>
            </w:pPr>
            <w:r>
              <w:rPr>
                <w:b/>
                <w:color w:val="FFFFFF"/>
                <w:sz w:val="20"/>
              </w:rPr>
              <w:t>Value</w:t>
            </w:r>
          </w:p>
        </w:tc>
      </w:tr>
      <w:tr>
        <w:tc>
          <w:tcPr>
            <w:tcW w:type="dxa" w:w="4703"/>
          </w:tcPr>
          <w:p>
            <w:r>
              <w:rPr>
                <w:sz w:val="20"/>
              </w:rPr>
              <w:t>Total Employees</w:t>
            </w:r>
          </w:p>
        </w:tc>
        <w:tc>
          <w:tcPr>
            <w:tcW w:type="dxa" w:w="4703"/>
          </w:tcPr>
          <w:p>
            <w:r>
              <w:rPr>
                <w:sz w:val="20"/>
              </w:rPr>
              <w:t>1,470</w:t>
            </w:r>
          </w:p>
        </w:tc>
      </w:tr>
      <w:tr>
        <w:tc>
          <w:tcPr>
            <w:tcW w:type="dxa" w:w="4703"/>
          </w:tcPr>
          <w:p>
            <w:r>
              <w:rPr>
                <w:sz w:val="20"/>
              </w:rPr>
              <w:t>Total Features</w:t>
            </w:r>
          </w:p>
        </w:tc>
        <w:tc>
          <w:tcPr>
            <w:tcW w:type="dxa" w:w="4703"/>
          </w:tcPr>
          <w:p>
            <w:r>
              <w:rPr>
                <w:sz w:val="20"/>
              </w:rPr>
              <w:t>35 (original)  |  32 (after dropping 3 constants)</w:t>
            </w:r>
          </w:p>
        </w:tc>
      </w:tr>
      <w:tr>
        <w:tc>
          <w:tcPr>
            <w:tcW w:type="dxa" w:w="4703"/>
          </w:tcPr>
          <w:p>
            <w:r>
              <w:rPr>
                <w:sz w:val="20"/>
              </w:rPr>
              <w:t>Target Column</w:t>
            </w:r>
          </w:p>
        </w:tc>
        <w:tc>
          <w:tcPr>
            <w:tcW w:type="dxa" w:w="4703"/>
          </w:tcPr>
          <w:p>
            <w:r>
              <w:rPr>
                <w:sz w:val="20"/>
              </w:rPr>
              <w:t>Attrition  (Yes = 1, No = 0)</w:t>
            </w:r>
          </w:p>
        </w:tc>
      </w:tr>
      <w:tr>
        <w:tc>
          <w:tcPr>
            <w:tcW w:type="dxa" w:w="4703"/>
          </w:tcPr>
          <w:p>
            <w:r>
              <w:rPr>
                <w:sz w:val="20"/>
              </w:rPr>
              <w:t>Attrition = Yes</w:t>
            </w:r>
          </w:p>
        </w:tc>
        <w:tc>
          <w:tcPr>
            <w:tcW w:type="dxa" w:w="4703"/>
          </w:tcPr>
          <w:p>
            <w:r>
              <w:rPr>
                <w:sz w:val="20"/>
              </w:rPr>
              <w:t>237  (16.12%)</w:t>
            </w:r>
          </w:p>
        </w:tc>
      </w:tr>
      <w:tr>
        <w:tc>
          <w:tcPr>
            <w:tcW w:type="dxa" w:w="4703"/>
          </w:tcPr>
          <w:p>
            <w:r>
              <w:rPr>
                <w:sz w:val="20"/>
              </w:rPr>
              <w:t>Attrition = No</w:t>
            </w:r>
          </w:p>
        </w:tc>
        <w:tc>
          <w:tcPr>
            <w:tcW w:type="dxa" w:w="4703"/>
          </w:tcPr>
          <w:p>
            <w:r>
              <w:rPr>
                <w:sz w:val="20"/>
              </w:rPr>
              <w:t>1,233  (83.88%)</w:t>
            </w:r>
          </w:p>
        </w:tc>
      </w:tr>
      <w:tr>
        <w:tc>
          <w:tcPr>
            <w:tcW w:type="dxa" w:w="4703"/>
          </w:tcPr>
          <w:p>
            <w:r>
              <w:rPr>
                <w:sz w:val="20"/>
              </w:rPr>
              <w:t>Missing Values</w:t>
            </w:r>
          </w:p>
        </w:tc>
        <w:tc>
          <w:tcPr>
            <w:tcW w:type="dxa" w:w="4703"/>
          </w:tcPr>
          <w:p>
            <w:r>
              <w:rPr>
                <w:sz w:val="20"/>
              </w:rPr>
              <w:t>None</w:t>
            </w:r>
          </w:p>
        </w:tc>
      </w:tr>
    </w:tbl>
    <w:p/>
    <w:p>
      <w:pPr>
        <w:pStyle w:val="Heading2"/>
        <w:spacing w:before="200" w:after="80"/>
      </w:pPr>
      <w:r>
        <w:rPr>
          <w:b/>
          <w:color w:val="0F62FE"/>
        </w:rPr>
        <w:t>2.1 Features Overview</w:t>
      </w:r>
    </w:p>
    <w:p>
      <w:pPr>
        <w:spacing w:after="80"/>
      </w:pPr>
      <w:r>
        <w:rPr>
          <w:b w:val="0"/>
          <w:i w:val="0"/>
          <w:color w:val="1F2328"/>
          <w:sz w:val="22"/>
        </w:rPr>
        <w:t>Key features in the dataset include:</w:t>
      </w:r>
    </w:p>
    <w:p>
      <w:pPr>
        <w:pStyle w:val="ListBullet"/>
        <w:spacing w:after="60"/>
      </w:pPr>
      <w:r>
        <w:rPr>
          <w:sz w:val="22"/>
        </w:rPr>
        <w:t>Age, Gender, MaritalStatus, Education, EducationField</w:t>
      </w:r>
    </w:p>
    <w:p>
      <w:pPr>
        <w:pStyle w:val="ListBullet"/>
        <w:spacing w:after="60"/>
      </w:pPr>
      <w:r>
        <w:rPr>
          <w:sz w:val="22"/>
        </w:rPr>
        <w:t>Department, JobRole, JobLevel, JobInvolvement</w:t>
      </w:r>
    </w:p>
    <w:p>
      <w:pPr>
        <w:pStyle w:val="ListBullet"/>
        <w:spacing w:after="60"/>
      </w:pPr>
      <w:r>
        <w:rPr>
          <w:sz w:val="22"/>
        </w:rPr>
        <w:t>MonthlyIncome, DailyRate, HourlyRate, MonthlyRate, PercentSalaryHike</w:t>
      </w:r>
    </w:p>
    <w:p>
      <w:pPr>
        <w:pStyle w:val="ListBullet"/>
        <w:spacing w:after="60"/>
      </w:pPr>
      <w:r>
        <w:rPr>
          <w:sz w:val="22"/>
        </w:rPr>
        <w:t>OverTime, BusinessTravel, DistanceFromHome</w:t>
      </w:r>
    </w:p>
    <w:p>
      <w:pPr>
        <w:pStyle w:val="ListBullet"/>
        <w:spacing w:after="60"/>
      </w:pPr>
      <w:r>
        <w:rPr>
          <w:sz w:val="22"/>
        </w:rPr>
        <w:t>JobSatisfaction, EnvironmentSatisfaction, RelationshipSatisfaction, WorkLifeBalance</w:t>
      </w:r>
    </w:p>
    <w:p>
      <w:pPr>
        <w:pStyle w:val="ListBullet"/>
        <w:spacing w:after="60"/>
      </w:pPr>
      <w:r>
        <w:rPr>
          <w:sz w:val="22"/>
        </w:rPr>
        <w:t>YearsAtCompany, YearsInCurrentRole, YearsSinceLastPromotion, YearsWithCurrManager</w:t>
      </w:r>
    </w:p>
    <w:p>
      <w:pPr>
        <w:pStyle w:val="ListBullet"/>
        <w:spacing w:after="60"/>
      </w:pPr>
      <w:r>
        <w:rPr>
          <w:sz w:val="22"/>
        </w:rPr>
        <w:t>TotalWorkingYears, NumCompaniesWorked, TrainingTimesLastYear</w:t>
      </w:r>
    </w:p>
    <w:p>
      <w:pPr>
        <w:pStyle w:val="ListBullet"/>
        <w:spacing w:after="60"/>
      </w:pPr>
      <w:r>
        <w:rPr>
          <w:sz w:val="22"/>
        </w:rPr>
        <w:t>StockOptionLevel, PerformanceRating</w:t>
      </w:r>
    </w:p>
    <w:p>
      <w:pPr>
        <w:pStyle w:val="ListBullet"/>
        <w:spacing w:after="60"/>
      </w:pPr>
      <w:r>
        <w:rPr>
          <w:sz w:val="22"/>
        </w:rPr>
        <w:t>Dropped (constant): EmployeeCount, StandardHours, Over18</w:t>
      </w:r>
    </w:p>
    <w:p>
      <w:pPr>
        <w:pStyle w:val="Heading2"/>
        <w:spacing w:before="200" w:after="80"/>
      </w:pPr>
      <w:r>
        <w:rPr>
          <w:b/>
          <w:color w:val="0F62FE"/>
        </w:rPr>
        <w:t>2.2 Sample Data</w:t>
      </w:r>
    </w:p>
    <w:p>
      <w:pPr>
        <w:spacing w:after="80"/>
      </w:pPr>
      <w:r>
        <w:rPr>
          <w:b w:val="0"/>
          <w:i w:val="0"/>
          <w:color w:val="1F2328"/>
          <w:sz w:val="22"/>
        </w:rPr>
        <w:t>First 5 employees from the dataset: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f62fe"/>
          </w:tcPr>
          <w:p>
            <w:pPr>
              <w:jc w:val="center"/>
            </w:pPr>
            <w:r>
              <w:rPr>
                <w:b/>
                <w:color w:val="FFFFFF"/>
                <w:sz w:val="20"/>
              </w:rPr>
              <w:t>Age</w:t>
            </w:r>
          </w:p>
        </w:tc>
        <w:tc>
          <w:tcPr>
            <w:tcW w:type="dxa" w:w="1568"/>
            <w:shd w:val="clear" w:color="auto" w:fill="0f62fe"/>
          </w:tcPr>
          <w:p>
            <w:pPr>
              <w:jc w:val="center"/>
            </w:pPr>
            <w:r>
              <w:rPr>
                <w:b/>
                <w:color w:val="FFFFFF"/>
                <w:sz w:val="20"/>
              </w:rPr>
              <w:t>Department</w:t>
            </w:r>
          </w:p>
        </w:tc>
        <w:tc>
          <w:tcPr>
            <w:tcW w:type="dxa" w:w="1568"/>
            <w:shd w:val="clear" w:color="auto" w:fill="0f62fe"/>
          </w:tcPr>
          <w:p>
            <w:pPr>
              <w:jc w:val="center"/>
            </w:pPr>
            <w:r>
              <w:rPr>
                <w:b/>
                <w:color w:val="FFFFFF"/>
                <w:sz w:val="20"/>
              </w:rPr>
              <w:t>JobRole</w:t>
            </w:r>
          </w:p>
        </w:tc>
        <w:tc>
          <w:tcPr>
            <w:tcW w:type="dxa" w:w="1568"/>
            <w:shd w:val="clear" w:color="auto" w:fill="0f62fe"/>
          </w:tcPr>
          <w:p>
            <w:pPr>
              <w:jc w:val="center"/>
            </w:pPr>
            <w:r>
              <w:rPr>
                <w:b/>
                <w:color w:val="FFFFFF"/>
                <w:sz w:val="20"/>
              </w:rPr>
              <w:t>MonthlyIncome</w:t>
            </w:r>
          </w:p>
        </w:tc>
        <w:tc>
          <w:tcPr>
            <w:tcW w:type="dxa" w:w="1568"/>
            <w:shd w:val="clear" w:color="auto" w:fill="0f62fe"/>
          </w:tcPr>
          <w:p>
            <w:pPr>
              <w:jc w:val="center"/>
            </w:pPr>
            <w:r>
              <w:rPr>
                <w:b/>
                <w:color w:val="FFFFFF"/>
                <w:sz w:val="20"/>
              </w:rPr>
              <w:t>OverTime</w:t>
            </w:r>
          </w:p>
        </w:tc>
        <w:tc>
          <w:tcPr>
            <w:tcW w:type="dxa" w:w="1568"/>
            <w:shd w:val="clear" w:color="auto" w:fill="0f62fe"/>
          </w:tcPr>
          <w:p>
            <w:pPr>
              <w:jc w:val="center"/>
            </w:pPr>
            <w:r>
              <w:rPr>
                <w:b/>
                <w:color w:val="FFFFFF"/>
                <w:sz w:val="20"/>
              </w:rPr>
              <w:t>Attrition</w:t>
            </w:r>
          </w:p>
        </w:tc>
      </w:tr>
      <w:tr>
        <w:tc>
          <w:tcPr>
            <w:tcW w:type="dxa" w:w="1568"/>
          </w:tcPr>
          <w:p>
            <w:pPr>
              <w:jc w:val="center"/>
            </w:pPr>
            <w:r>
              <w:rPr>
                <w:sz w:val="20"/>
              </w:rPr>
              <w:t>41</w:t>
            </w:r>
          </w:p>
        </w:tc>
        <w:tc>
          <w:tcPr>
            <w:tcW w:type="dxa" w:w="1568"/>
          </w:tcPr>
          <w:p>
            <w:pPr>
              <w:jc w:val="center"/>
            </w:pPr>
            <w:r>
              <w:rPr>
                <w:sz w:val="20"/>
              </w:rPr>
              <w:t>Sales</w:t>
            </w:r>
          </w:p>
        </w:tc>
        <w:tc>
          <w:tcPr>
            <w:tcW w:type="dxa" w:w="1568"/>
          </w:tcPr>
          <w:p>
            <w:pPr>
              <w:jc w:val="center"/>
            </w:pPr>
            <w:r>
              <w:rPr>
                <w:sz w:val="20"/>
              </w:rPr>
              <w:t>Sales Executive</w:t>
            </w:r>
          </w:p>
        </w:tc>
        <w:tc>
          <w:tcPr>
            <w:tcW w:type="dxa" w:w="1568"/>
          </w:tcPr>
          <w:p>
            <w:pPr>
              <w:jc w:val="center"/>
            </w:pPr>
            <w:r>
              <w:rPr>
                <w:sz w:val="20"/>
              </w:rPr>
              <w:t>$5,993</w:t>
            </w:r>
          </w:p>
        </w:tc>
        <w:tc>
          <w:tcPr>
            <w:tcW w:type="dxa" w:w="1568"/>
          </w:tcPr>
          <w:p>
            <w:pPr>
              <w:jc w:val="center"/>
            </w:pPr>
            <w:r>
              <w:rPr>
                <w:sz w:val="20"/>
              </w:rPr>
              <w:t>Yes</w:t>
            </w:r>
          </w:p>
        </w:tc>
        <w:tc>
          <w:tcPr>
            <w:tcW w:type="dxa" w:w="1568"/>
          </w:tcPr>
          <w:p>
            <w:pPr>
              <w:jc w:val="center"/>
            </w:pPr>
            <w:r>
              <w:rPr>
                <w:sz w:val="20"/>
              </w:rPr>
              <w:t>Yes</w:t>
            </w:r>
          </w:p>
        </w:tc>
      </w:tr>
      <w:tr>
        <w:tc>
          <w:tcPr>
            <w:tcW w:type="dxa" w:w="1568"/>
          </w:tcPr>
          <w:p>
            <w:pPr>
              <w:jc w:val="center"/>
            </w:pPr>
            <w:r>
              <w:rPr>
                <w:sz w:val="20"/>
              </w:rPr>
              <w:t>49</w:t>
            </w:r>
          </w:p>
        </w:tc>
        <w:tc>
          <w:tcPr>
            <w:tcW w:type="dxa" w:w="1568"/>
          </w:tcPr>
          <w:p>
            <w:pPr>
              <w:jc w:val="center"/>
            </w:pPr>
            <w:r>
              <w:rPr>
                <w:sz w:val="20"/>
              </w:rPr>
              <w:t>R&amp;D</w:t>
            </w:r>
          </w:p>
        </w:tc>
        <w:tc>
          <w:tcPr>
            <w:tcW w:type="dxa" w:w="1568"/>
          </w:tcPr>
          <w:p>
            <w:pPr>
              <w:jc w:val="center"/>
            </w:pPr>
            <w:r>
              <w:rPr>
                <w:sz w:val="20"/>
              </w:rPr>
              <w:t>Research Scientist</w:t>
            </w:r>
          </w:p>
        </w:tc>
        <w:tc>
          <w:tcPr>
            <w:tcW w:type="dxa" w:w="1568"/>
          </w:tcPr>
          <w:p>
            <w:pPr>
              <w:jc w:val="center"/>
            </w:pPr>
            <w:r>
              <w:rPr>
                <w:sz w:val="20"/>
              </w:rPr>
              <w:t>$5,130</w:t>
            </w:r>
          </w:p>
        </w:tc>
        <w:tc>
          <w:tcPr>
            <w:tcW w:type="dxa" w:w="1568"/>
          </w:tcPr>
          <w:p>
            <w:pPr>
              <w:jc w:val="center"/>
            </w:pPr>
            <w:r>
              <w:rPr>
                <w:sz w:val="20"/>
              </w:rPr>
              <w:t>No</w:t>
            </w:r>
          </w:p>
        </w:tc>
        <w:tc>
          <w:tcPr>
            <w:tcW w:type="dxa" w:w="1568"/>
          </w:tcPr>
          <w:p>
            <w:pPr>
              <w:jc w:val="center"/>
            </w:pPr>
            <w:r>
              <w:rPr>
                <w:sz w:val="20"/>
              </w:rPr>
              <w:t>No</w:t>
            </w:r>
          </w:p>
        </w:tc>
      </w:tr>
      <w:tr>
        <w:tc>
          <w:tcPr>
            <w:tcW w:type="dxa" w:w="1568"/>
          </w:tcPr>
          <w:p>
            <w:pPr>
              <w:jc w:val="center"/>
            </w:pPr>
            <w:r>
              <w:rPr>
                <w:sz w:val="20"/>
              </w:rPr>
              <w:t>37</w:t>
            </w:r>
          </w:p>
        </w:tc>
        <w:tc>
          <w:tcPr>
            <w:tcW w:type="dxa" w:w="1568"/>
          </w:tcPr>
          <w:p>
            <w:pPr>
              <w:jc w:val="center"/>
            </w:pPr>
            <w:r>
              <w:rPr>
                <w:sz w:val="20"/>
              </w:rPr>
              <w:t>R&amp;D</w:t>
            </w:r>
          </w:p>
        </w:tc>
        <w:tc>
          <w:tcPr>
            <w:tcW w:type="dxa" w:w="1568"/>
          </w:tcPr>
          <w:p>
            <w:pPr>
              <w:jc w:val="center"/>
            </w:pPr>
            <w:r>
              <w:rPr>
                <w:sz w:val="20"/>
              </w:rPr>
              <w:t>Lab Technician</w:t>
            </w:r>
          </w:p>
        </w:tc>
        <w:tc>
          <w:tcPr>
            <w:tcW w:type="dxa" w:w="1568"/>
          </w:tcPr>
          <w:p>
            <w:pPr>
              <w:jc w:val="center"/>
            </w:pPr>
            <w:r>
              <w:rPr>
                <w:sz w:val="20"/>
              </w:rPr>
              <w:t>$2,090</w:t>
            </w:r>
          </w:p>
        </w:tc>
        <w:tc>
          <w:tcPr>
            <w:tcW w:type="dxa" w:w="1568"/>
          </w:tcPr>
          <w:p>
            <w:pPr>
              <w:jc w:val="center"/>
            </w:pPr>
            <w:r>
              <w:rPr>
                <w:sz w:val="20"/>
              </w:rPr>
              <w:t>Yes</w:t>
            </w:r>
          </w:p>
        </w:tc>
        <w:tc>
          <w:tcPr>
            <w:tcW w:type="dxa" w:w="1568"/>
          </w:tcPr>
          <w:p>
            <w:pPr>
              <w:jc w:val="center"/>
            </w:pPr>
            <w:r>
              <w:rPr>
                <w:sz w:val="20"/>
              </w:rPr>
              <w:t>Yes</w:t>
            </w:r>
          </w:p>
        </w:tc>
      </w:tr>
      <w:tr>
        <w:tc>
          <w:tcPr>
            <w:tcW w:type="dxa" w:w="1568"/>
          </w:tcPr>
          <w:p>
            <w:pPr>
              <w:jc w:val="center"/>
            </w:pPr>
            <w:r>
              <w:rPr>
                <w:sz w:val="20"/>
              </w:rPr>
              <w:t>33</w:t>
            </w:r>
          </w:p>
        </w:tc>
        <w:tc>
          <w:tcPr>
            <w:tcW w:type="dxa" w:w="1568"/>
          </w:tcPr>
          <w:p>
            <w:pPr>
              <w:jc w:val="center"/>
            </w:pPr>
            <w:r>
              <w:rPr>
                <w:sz w:val="20"/>
              </w:rPr>
              <w:t>R&amp;D</w:t>
            </w:r>
          </w:p>
        </w:tc>
        <w:tc>
          <w:tcPr>
            <w:tcW w:type="dxa" w:w="1568"/>
          </w:tcPr>
          <w:p>
            <w:pPr>
              <w:jc w:val="center"/>
            </w:pPr>
            <w:r>
              <w:rPr>
                <w:sz w:val="20"/>
              </w:rPr>
              <w:t>Research Scientist</w:t>
            </w:r>
          </w:p>
        </w:tc>
        <w:tc>
          <w:tcPr>
            <w:tcW w:type="dxa" w:w="1568"/>
          </w:tcPr>
          <w:p>
            <w:pPr>
              <w:jc w:val="center"/>
            </w:pPr>
            <w:r>
              <w:rPr>
                <w:sz w:val="20"/>
              </w:rPr>
              <w:t>$2,909</w:t>
            </w:r>
          </w:p>
        </w:tc>
        <w:tc>
          <w:tcPr>
            <w:tcW w:type="dxa" w:w="1568"/>
          </w:tcPr>
          <w:p>
            <w:pPr>
              <w:jc w:val="center"/>
            </w:pPr>
            <w:r>
              <w:rPr>
                <w:sz w:val="20"/>
              </w:rPr>
              <w:t>Yes</w:t>
            </w:r>
          </w:p>
        </w:tc>
        <w:tc>
          <w:tcPr>
            <w:tcW w:type="dxa" w:w="1568"/>
          </w:tcPr>
          <w:p>
            <w:pPr>
              <w:jc w:val="center"/>
            </w:pPr>
            <w:r>
              <w:rPr>
                <w:sz w:val="20"/>
              </w:rPr>
              <w:t>No</w:t>
            </w:r>
          </w:p>
        </w:tc>
      </w:tr>
      <w:tr>
        <w:tc>
          <w:tcPr>
            <w:tcW w:type="dxa" w:w="1568"/>
          </w:tcPr>
          <w:p>
            <w:pPr>
              <w:jc w:val="center"/>
            </w:pPr>
            <w:r>
              <w:rPr>
                <w:sz w:val="20"/>
              </w:rPr>
              <w:t>27</w:t>
            </w:r>
          </w:p>
        </w:tc>
        <w:tc>
          <w:tcPr>
            <w:tcW w:type="dxa" w:w="1568"/>
          </w:tcPr>
          <w:p>
            <w:pPr>
              <w:jc w:val="center"/>
            </w:pPr>
            <w:r>
              <w:rPr>
                <w:sz w:val="20"/>
              </w:rPr>
              <w:t>R&amp;D</w:t>
            </w:r>
          </w:p>
        </w:tc>
        <w:tc>
          <w:tcPr>
            <w:tcW w:type="dxa" w:w="1568"/>
          </w:tcPr>
          <w:p>
            <w:pPr>
              <w:jc w:val="center"/>
            </w:pPr>
            <w:r>
              <w:rPr>
                <w:sz w:val="20"/>
              </w:rPr>
              <w:t>Lab Technician</w:t>
            </w:r>
          </w:p>
        </w:tc>
        <w:tc>
          <w:tcPr>
            <w:tcW w:type="dxa" w:w="1568"/>
          </w:tcPr>
          <w:p>
            <w:pPr>
              <w:jc w:val="center"/>
            </w:pPr>
            <w:r>
              <w:rPr>
                <w:sz w:val="20"/>
              </w:rPr>
              <w:t>$2,649</w:t>
            </w:r>
          </w:p>
        </w:tc>
        <w:tc>
          <w:tcPr>
            <w:tcW w:type="dxa" w:w="1568"/>
          </w:tcPr>
          <w:p>
            <w:pPr>
              <w:jc w:val="center"/>
            </w:pPr>
            <w:r>
              <w:rPr>
                <w:sz w:val="20"/>
              </w:rPr>
              <w:t>No</w:t>
            </w:r>
          </w:p>
        </w:tc>
        <w:tc>
          <w:tcPr>
            <w:tcW w:type="dxa" w:w="1568"/>
          </w:tcPr>
          <w:p>
            <w:pPr>
              <w:jc w:val="center"/>
            </w:pPr>
            <w:r>
              <w:rPr>
                <w:sz w:val="20"/>
              </w:rPr>
              <w:t>No</w:t>
            </w:r>
          </w:p>
        </w:tc>
      </w:tr>
    </w:tbl>
    <w:p/>
    <w:p>
      <w:r>
        <w:br w:type="page"/>
      </w:r>
    </w:p>
    <w:p>
      <w:pPr>
        <w:pStyle w:val="Heading1"/>
        <w:spacing w:before="320" w:after="120"/>
      </w:pPr>
      <w:r>
        <w:rPr>
          <w:b/>
          <w:color w:val="001141"/>
        </w:rPr>
        <w:t>3. Tools &amp; Technologies</w:t>
      </w:r>
    </w:p>
    <w:tbl>
      <w:tblPr>
        <w:tblStyle w:val="TableGrid"/>
        <w:tblW w:type="auto" w:w="0"/>
        <w:tblLook w:firstColumn="1" w:firstRow="1" w:lastColumn="0" w:lastRow="0" w:noHBand="0" w:noVBand="1" w:val="04A0"/>
      </w:tblPr>
      <w:tblGrid>
        <w:gridCol w:w="4703"/>
        <w:gridCol w:w="4703"/>
      </w:tblGrid>
      <w:tr>
        <w:tc>
          <w:tcPr>
            <w:tcW w:type="dxa" w:w="4703"/>
            <w:shd w:val="clear" w:color="auto" w:fill="0f62fe"/>
          </w:tcPr>
          <w:p>
            <w:pPr>
              <w:jc w:val="center"/>
            </w:pPr>
            <w:r>
              <w:rPr>
                <w:b/>
                <w:color w:val="FFFFFF"/>
                <w:sz w:val="20"/>
              </w:rPr>
              <w:t>Tool / Library</w:t>
            </w:r>
          </w:p>
        </w:tc>
        <w:tc>
          <w:tcPr>
            <w:tcW w:type="dxa" w:w="4703"/>
            <w:shd w:val="clear" w:color="auto" w:fill="0f62fe"/>
          </w:tcPr>
          <w:p>
            <w:pPr>
              <w:jc w:val="center"/>
            </w:pPr>
            <w:r>
              <w:rPr>
                <w:b/>
                <w:color w:val="FFFFFF"/>
                <w:sz w:val="20"/>
              </w:rPr>
              <w:t>Purpose</w:t>
            </w:r>
          </w:p>
        </w:tc>
      </w:tr>
      <w:tr>
        <w:tc>
          <w:tcPr>
            <w:tcW w:type="dxa" w:w="4703"/>
          </w:tcPr>
          <w:p>
            <w:r>
              <w:rPr>
                <w:sz w:val="20"/>
              </w:rPr>
              <w:t>Python 3.13</w:t>
            </w:r>
          </w:p>
        </w:tc>
        <w:tc>
          <w:tcPr>
            <w:tcW w:type="dxa" w:w="4703"/>
          </w:tcPr>
          <w:p>
            <w:r>
              <w:rPr>
                <w:sz w:val="20"/>
              </w:rPr>
              <w:t>Core programming language</w:t>
            </w:r>
          </w:p>
        </w:tc>
      </w:tr>
      <w:tr>
        <w:tc>
          <w:tcPr>
            <w:tcW w:type="dxa" w:w="4703"/>
          </w:tcPr>
          <w:p>
            <w:r>
              <w:rPr>
                <w:sz w:val="20"/>
              </w:rPr>
              <w:t>Pandas / NumPy</w:t>
            </w:r>
          </w:p>
        </w:tc>
        <w:tc>
          <w:tcPr>
            <w:tcW w:type="dxa" w:w="4703"/>
          </w:tcPr>
          <w:p>
            <w:r>
              <w:rPr>
                <w:sz w:val="20"/>
              </w:rPr>
              <w:t>Data manipulation and numerical computing</w:t>
            </w:r>
          </w:p>
        </w:tc>
      </w:tr>
      <w:tr>
        <w:tc>
          <w:tcPr>
            <w:tcW w:type="dxa" w:w="4703"/>
          </w:tcPr>
          <w:p>
            <w:r>
              <w:rPr>
                <w:sz w:val="20"/>
              </w:rPr>
              <w:t>Matplotlib / Seaborn</w:t>
            </w:r>
          </w:p>
        </w:tc>
        <w:tc>
          <w:tcPr>
            <w:tcW w:type="dxa" w:w="4703"/>
          </w:tcPr>
          <w:p>
            <w:r>
              <w:rPr>
                <w:sz w:val="20"/>
              </w:rPr>
              <w:t>Static chart generation for EDA</w:t>
            </w:r>
          </w:p>
        </w:tc>
      </w:tr>
      <w:tr>
        <w:tc>
          <w:tcPr>
            <w:tcW w:type="dxa" w:w="4703"/>
          </w:tcPr>
          <w:p>
            <w:r>
              <w:rPr>
                <w:sz w:val="20"/>
              </w:rPr>
              <w:t>Plotly</w:t>
            </w:r>
          </w:p>
        </w:tc>
        <w:tc>
          <w:tcPr>
            <w:tcW w:type="dxa" w:w="4703"/>
          </w:tcPr>
          <w:p>
            <w:r>
              <w:rPr>
                <w:sz w:val="20"/>
              </w:rPr>
              <w:t>Interactive dark-themed charts in Streamlit UI</w:t>
            </w:r>
          </w:p>
        </w:tc>
      </w:tr>
      <w:tr>
        <w:tc>
          <w:tcPr>
            <w:tcW w:type="dxa" w:w="4703"/>
          </w:tcPr>
          <w:p>
            <w:r>
              <w:rPr>
                <w:sz w:val="20"/>
              </w:rPr>
              <w:t>Scikit-learn</w:t>
            </w:r>
          </w:p>
        </w:tc>
        <w:tc>
          <w:tcPr>
            <w:tcW w:type="dxa" w:w="4703"/>
          </w:tcPr>
          <w:p>
            <w:r>
              <w:rPr>
                <w:sz w:val="20"/>
              </w:rPr>
              <w:t>LabelEncoder, RandomForestClassifier, evaluation metrics</w:t>
            </w:r>
          </w:p>
        </w:tc>
      </w:tr>
      <w:tr>
        <w:tc>
          <w:tcPr>
            <w:tcW w:type="dxa" w:w="4703"/>
          </w:tcPr>
          <w:p>
            <w:r>
              <w:rPr>
                <w:sz w:val="20"/>
              </w:rPr>
              <w:t>imbalanced-learn</w:t>
            </w:r>
          </w:p>
        </w:tc>
        <w:tc>
          <w:tcPr>
            <w:tcW w:type="dxa" w:w="4703"/>
          </w:tcPr>
          <w:p>
            <w:r>
              <w:rPr>
                <w:sz w:val="20"/>
              </w:rPr>
              <w:t>SMOTE for handling class imbalance (16% minority)</w:t>
            </w:r>
          </w:p>
        </w:tc>
      </w:tr>
      <w:tr>
        <w:tc>
          <w:tcPr>
            <w:tcW w:type="dxa" w:w="4703"/>
          </w:tcPr>
          <w:p>
            <w:r>
              <w:rPr>
                <w:sz w:val="20"/>
              </w:rPr>
              <w:t>Joblib</w:t>
            </w:r>
          </w:p>
        </w:tc>
        <w:tc>
          <w:tcPr>
            <w:tcW w:type="dxa" w:w="4703"/>
          </w:tcPr>
          <w:p>
            <w:r>
              <w:rPr>
                <w:sz w:val="20"/>
              </w:rPr>
              <w:t>Model serialisation — saved as model.pkl</w:t>
            </w:r>
          </w:p>
        </w:tc>
      </w:tr>
      <w:tr>
        <w:tc>
          <w:tcPr>
            <w:tcW w:type="dxa" w:w="4703"/>
          </w:tcPr>
          <w:p>
            <w:r>
              <w:rPr>
                <w:sz w:val="20"/>
              </w:rPr>
              <w:t>Flask 3.1</w:t>
            </w:r>
          </w:p>
        </w:tc>
        <w:tc>
          <w:tcPr>
            <w:tcW w:type="dxa" w:w="4703"/>
          </w:tcPr>
          <w:p>
            <w:r>
              <w:rPr>
                <w:sz w:val="20"/>
              </w:rPr>
              <w:t>REST API backend — 10 endpoints on port 5000</w:t>
            </w:r>
          </w:p>
        </w:tc>
      </w:tr>
      <w:tr>
        <w:tc>
          <w:tcPr>
            <w:tcW w:type="dxa" w:w="4703"/>
          </w:tcPr>
          <w:p>
            <w:r>
              <w:rPr>
                <w:sz w:val="20"/>
              </w:rPr>
              <w:t>Streamlit 1.63</w:t>
            </w:r>
          </w:p>
        </w:tc>
        <w:tc>
          <w:tcPr>
            <w:tcW w:type="dxa" w:w="4703"/>
          </w:tcPr>
          <w:p>
            <w:r>
              <w:rPr>
                <w:sz w:val="20"/>
              </w:rPr>
              <w:t>Interactive dashboard frontend (5 pages + About page)</w:t>
            </w:r>
          </w:p>
        </w:tc>
      </w:tr>
      <w:tr>
        <w:tc>
          <w:tcPr>
            <w:tcW w:type="dxa" w:w="4703"/>
          </w:tcPr>
          <w:p>
            <w:r>
              <w:rPr>
                <w:sz w:val="20"/>
              </w:rPr>
              <w:t>XGBoost</w:t>
            </w:r>
          </w:p>
        </w:tc>
        <w:tc>
          <w:tcPr>
            <w:tcW w:type="dxa" w:w="4703"/>
          </w:tcPr>
          <w:p>
            <w:r>
              <w:rPr>
                <w:sz w:val="20"/>
              </w:rPr>
              <w:t>Gradient-boosted model with 90.08% accuracy and 96.86% ROC-AUC</w:t>
            </w:r>
          </w:p>
        </w:tc>
      </w:tr>
      <w:tr>
        <w:tc>
          <w:tcPr>
            <w:tcW w:type="dxa" w:w="4703"/>
          </w:tcPr>
          <w:p>
            <w:r>
              <w:rPr>
                <w:sz w:val="20"/>
              </w:rPr>
              <w:t>python-docx</w:t>
            </w:r>
          </w:p>
        </w:tc>
        <w:tc>
          <w:tcPr>
            <w:tcW w:type="dxa" w:w="4703"/>
          </w:tcPr>
          <w:p>
            <w:r>
              <w:rPr>
                <w:sz w:val="20"/>
              </w:rPr>
              <w:t>Automated Word report generation</w:t>
            </w:r>
          </w:p>
        </w:tc>
      </w:tr>
      <w:tr>
        <w:tc>
          <w:tcPr>
            <w:tcW w:type="dxa" w:w="4703"/>
          </w:tcPr>
          <w:p>
            <w:r>
              <w:rPr>
                <w:sz w:val="20"/>
              </w:rPr>
              <w:t>IBM Bob</w:t>
            </w:r>
          </w:p>
        </w:tc>
        <w:tc>
          <w:tcPr>
            <w:tcW w:type="dxa" w:w="4703"/>
          </w:tcPr>
          <w:p>
            <w:r>
              <w:rPr>
                <w:sz w:val="20"/>
              </w:rPr>
              <w:t>AI assistant used throughout the project</w:t>
            </w:r>
          </w:p>
        </w:tc>
      </w:tr>
      <w:tr>
        <w:tc>
          <w:tcPr>
            <w:tcW w:type="dxa" w:w="4703"/>
          </w:tcPr>
          <w:p>
            <w:r>
              <w:rPr>
                <w:sz w:val="20"/>
              </w:rPr>
              <w:t>Jupyter Notebook</w:t>
            </w:r>
          </w:p>
        </w:tc>
        <w:tc>
          <w:tcPr>
            <w:tcW w:type="dxa" w:w="4703"/>
          </w:tcPr>
          <w:p>
            <w:r>
              <w:rPr>
                <w:sz w:val="20"/>
              </w:rPr>
              <w:t>Interactive development and analysis</w:t>
            </w:r>
          </w:p>
        </w:tc>
      </w:tr>
    </w:tbl>
    <w:p/>
    <w:p>
      <w:r>
        <w:br w:type="page"/>
      </w:r>
    </w:p>
    <w:p>
      <w:pPr>
        <w:pStyle w:val="Heading1"/>
        <w:spacing w:before="320" w:after="120"/>
      </w:pPr>
      <w:r>
        <w:rPr>
          <w:b/>
          <w:color w:val="001141"/>
        </w:rPr>
        <w:t>4. Project Structure</w:t>
      </w:r>
    </w:p>
    <w:p>
      <w:pPr>
        <w:spacing w:after="80"/>
      </w:pPr>
      <w:r>
        <w:rPr>
          <w:b w:val="0"/>
          <w:i w:val="0"/>
          <w:color w:val="1F2328"/>
          <w:sz w:val="22"/>
        </w:rPr>
        <w:t>The project is organised as a single HRAnalysis/ directory:</w:t>
      </w:r>
    </w:p>
    <w:p/>
    <w:p>
      <w:pPr>
        <w:spacing w:after="200"/>
      </w:pPr>
      <w:r>
        <w:rPr>
          <w:rFonts w:ascii="Courier New" w:hAnsi="Courier New"/>
          <w:color w:val="001141"/>
          <w:sz w:val="18"/>
        </w:rPr>
        <w:t>HRAnalysis/</w:t>
        <w:br/>
        <w:t>├── WA_Fn-UseC_-HR-Employee-Attrition.csv   # IBM HR dataset (1,470 rows)</w:t>
        <w:br/>
        <w:t>├── MohammedSameerKhazi_HRAnalysis.ipynb    # Jupyter notebook — EDA + training</w:t>
        <w:br/>
        <w:t>├── train_model.py                          # Standalone model training script</w:t>
        <w:br/>
        <w:t>├── app.py                                  # Flask REST API (10 endpoints, port 5000)</w:t>
        <w:br/>
        <w:t>├── ui.py                                   # Streamlit dashboard (5 pages + About page)</w:t>
        <w:br/>
        <w:t>├── requirements.txt                        # All Python dependencies</w:t>
        <w:br/>
        <w:t>├── model.pkl                               # Saved Random Forest model (~5 MB)</w:t>
        <w:br/>
        <w:t>├── README.md                               # Project documentation</w:t>
        <w:br/>
        <w:t>├── api_outputs.txt                         # All 10 API endpoint JSON responses</w:t>
        <w:br/>
        <w:t>├── collect_api_outputs.py                  # API test + screenshot generator</w:t>
        <w:br/>
        <w:t>├── MohammedSameerKhazi_ProjectReport.docx  # This report</w:t>
        <w:br/>
        <w:t>└── report_images/                          # 22 charts and API screenshots</w:t>
        <w:br/>
        <w:t xml:space="preserve">    ├── chart1_attrition_distribution.png</w:t>
        <w:br/>
        <w:t xml:space="preserve">    ├── chart2_age_income_distribution.png</w:t>
        <w:br/>
        <w:t xml:space="preserve">    ├── chart3_dept_jobrole_attrition.png</w:t>
        <w:br/>
        <w:t xml:space="preserve">    ├── chart4_correlation_heatmap.png</w:t>
        <w:br/>
        <w:t xml:space="preserve">    ├── chart5_worklife_overtime_attrition.png</w:t>
        <w:br/>
        <w:t xml:space="preserve">    ├── chart6_confusion_feature_importance.png</w:t>
        <w:br/>
        <w:t xml:space="preserve">    └── api_r1_status.png  ...  api_r10_risk_factors.png</w:t>
      </w:r>
    </w:p>
    <w:p>
      <w:r>
        <w:br w:type="page"/>
      </w:r>
    </w:p>
    <w:p>
      <w:pPr>
        <w:pStyle w:val="Heading1"/>
        <w:spacing w:before="320" w:after="120"/>
      </w:pPr>
      <w:r>
        <w:rPr>
          <w:b/>
          <w:color w:val="001141"/>
        </w:rPr>
        <w:t>5. Data Cleaning &amp; Preprocessing</w:t>
      </w:r>
    </w:p>
    <w:p>
      <w:pPr>
        <w:pStyle w:val="Heading2"/>
        <w:spacing w:before="200" w:after="80"/>
      </w:pPr>
      <w:r>
        <w:rPr>
          <w:b/>
          <w:color w:val="0F62FE"/>
        </w:rPr>
        <w:t>5.1 Dropping Constant Columns</w:t>
      </w:r>
    </w:p>
    <w:p>
      <w:pPr>
        <w:spacing w:after="80"/>
      </w:pPr>
      <w:r>
        <w:rPr>
          <w:b w:val="0"/>
          <w:i w:val="0"/>
          <w:color w:val="1F2328"/>
          <w:sz w:val="22"/>
        </w:rPr>
        <w:t>Three columns were dropped as they hold the same value for every employee and add no predictive signal:</w:t>
      </w:r>
    </w:p>
    <w:tbl>
      <w:tblPr>
        <w:tblStyle w:val="TableGrid"/>
        <w:tblW w:type="auto" w:w="0"/>
        <w:tblLook w:firstColumn="1" w:firstRow="1" w:lastColumn="0" w:lastRow="0" w:noHBand="0" w:noVBand="1" w:val="04A0"/>
      </w:tblPr>
      <w:tblGrid>
        <w:gridCol w:w="4703"/>
        <w:gridCol w:w="4703"/>
      </w:tblGrid>
      <w:tr>
        <w:tc>
          <w:tcPr>
            <w:tcW w:type="dxa" w:w="4703"/>
            <w:shd w:val="clear" w:color="auto" w:fill="0f62fe"/>
          </w:tcPr>
          <w:p>
            <w:pPr>
              <w:jc w:val="center"/>
            </w:pPr>
            <w:r>
              <w:rPr>
                <w:b/>
                <w:color w:val="FFFFFF"/>
                <w:sz w:val="20"/>
              </w:rPr>
              <w:t>Column</w:t>
            </w:r>
          </w:p>
        </w:tc>
        <w:tc>
          <w:tcPr>
            <w:tcW w:type="dxa" w:w="4703"/>
            <w:shd w:val="clear" w:color="auto" w:fill="0f62fe"/>
          </w:tcPr>
          <w:p>
            <w:pPr>
              <w:jc w:val="center"/>
            </w:pPr>
            <w:r>
              <w:rPr>
                <w:b/>
                <w:color w:val="FFFFFF"/>
                <w:sz w:val="20"/>
              </w:rPr>
              <w:t>Constant Value</w:t>
            </w:r>
          </w:p>
        </w:tc>
      </w:tr>
      <w:tr>
        <w:tc>
          <w:tcPr>
            <w:tcW w:type="dxa" w:w="4703"/>
          </w:tcPr>
          <w:p>
            <w:pPr>
              <w:jc w:val="center"/>
            </w:pPr>
            <w:r>
              <w:rPr>
                <w:sz w:val="20"/>
              </w:rPr>
              <w:t>EmployeeCount</w:t>
            </w:r>
          </w:p>
        </w:tc>
        <w:tc>
          <w:tcPr>
            <w:tcW w:type="dxa" w:w="4703"/>
          </w:tcPr>
          <w:p>
            <w:pPr>
              <w:jc w:val="center"/>
            </w:pPr>
            <w:r>
              <w:rPr>
                <w:sz w:val="20"/>
              </w:rPr>
              <w:t>1 for all rows</w:t>
            </w:r>
          </w:p>
        </w:tc>
      </w:tr>
      <w:tr>
        <w:tc>
          <w:tcPr>
            <w:tcW w:type="dxa" w:w="4703"/>
          </w:tcPr>
          <w:p>
            <w:pPr>
              <w:jc w:val="center"/>
            </w:pPr>
            <w:r>
              <w:rPr>
                <w:sz w:val="20"/>
              </w:rPr>
              <w:t>StandardHours</w:t>
            </w:r>
          </w:p>
        </w:tc>
        <w:tc>
          <w:tcPr>
            <w:tcW w:type="dxa" w:w="4703"/>
          </w:tcPr>
          <w:p>
            <w:pPr>
              <w:jc w:val="center"/>
            </w:pPr>
            <w:r>
              <w:rPr>
                <w:sz w:val="20"/>
              </w:rPr>
              <w:t>80 for all rows</w:t>
            </w:r>
          </w:p>
        </w:tc>
      </w:tr>
      <w:tr>
        <w:tc>
          <w:tcPr>
            <w:tcW w:type="dxa" w:w="4703"/>
          </w:tcPr>
          <w:p>
            <w:pPr>
              <w:jc w:val="center"/>
            </w:pPr>
            <w:r>
              <w:rPr>
                <w:sz w:val="20"/>
              </w:rPr>
              <w:t>Over18</w:t>
            </w:r>
          </w:p>
        </w:tc>
        <w:tc>
          <w:tcPr>
            <w:tcW w:type="dxa" w:w="4703"/>
          </w:tcPr>
          <w:p>
            <w:pPr>
              <w:jc w:val="center"/>
            </w:pPr>
            <w:r>
              <w:rPr>
                <w:sz w:val="20"/>
              </w:rPr>
              <w:t>Y for all rows</w:t>
            </w:r>
          </w:p>
        </w:tc>
      </w:tr>
    </w:tbl>
    <w:p/>
    <w:p>
      <w:pPr>
        <w:pStyle w:val="Heading2"/>
        <w:spacing w:before="200" w:after="80"/>
      </w:pPr>
      <w:r>
        <w:rPr>
          <w:b/>
          <w:color w:val="0F62FE"/>
        </w:rPr>
        <w:t>5.2 Label Encoding</w:t>
      </w:r>
    </w:p>
    <w:p>
      <w:pPr>
        <w:spacing w:after="80"/>
      </w:pPr>
      <w:r>
        <w:rPr>
          <w:b w:val="0"/>
          <w:i w:val="0"/>
          <w:color w:val="1F2328"/>
          <w:sz w:val="22"/>
        </w:rPr>
        <w:t>All categorical (object-type) columns were converted to integers using sklearn's LabelEncoder. Encoding was applied to: Attrition (target: No=0, Yes=1), BusinessTravel, Department, EducationField, Gender, JobRole, MaritalStatus, OverTime.</w:t>
      </w:r>
    </w:p>
    <w:p>
      <w:pPr>
        <w:pStyle w:val="Heading2"/>
        <w:spacing w:before="200" w:after="80"/>
      </w:pPr>
      <w:r>
        <w:rPr>
          <w:b/>
          <w:color w:val="0F62FE"/>
        </w:rPr>
        <w:t>5.3 Class Imbalance — SMOTE</w:t>
      </w:r>
    </w:p>
    <w:p>
      <w:pPr>
        <w:spacing w:after="80"/>
      </w:pPr>
      <w:r>
        <w:rPr>
          <w:b w:val="0"/>
          <w:i w:val="0"/>
          <w:color w:val="1F2328"/>
          <w:sz w:val="22"/>
        </w:rPr>
        <w:t>The target variable is highly imbalanced: only 16.12% (237 employees) have Attrition=Yes. Without correction, classifiers optimise for majority-class accuracy and miss most leavers. SMOTE (Synthetic Minority Over-sampling Technique) generates synthetic minority-class samples until both classes are balanced 1:1.</w:t>
      </w:r>
    </w:p>
    <w:tbl>
      <w:tblPr>
        <w:tblStyle w:val="TableGrid"/>
        <w:tblW w:type="auto" w:w="0"/>
        <w:tblLook w:firstColumn="1" w:firstRow="1" w:lastColumn="0" w:lastRow="0" w:noHBand="0" w:noVBand="1" w:val="04A0"/>
      </w:tblPr>
      <w:tblGrid>
        <w:gridCol w:w="4703"/>
        <w:gridCol w:w="4703"/>
      </w:tblGrid>
      <w:tr>
        <w:tc>
          <w:tcPr>
            <w:tcW w:type="dxa" w:w="4703"/>
            <w:shd w:val="clear" w:color="auto" w:fill="0f62fe"/>
          </w:tcPr>
          <w:p>
            <w:pPr>
              <w:jc w:val="center"/>
            </w:pPr>
            <w:r>
              <w:rPr>
                <w:b/>
                <w:color w:val="FFFFFF"/>
                <w:sz w:val="20"/>
              </w:rPr>
              <w:t>Stage</w:t>
            </w:r>
          </w:p>
        </w:tc>
        <w:tc>
          <w:tcPr>
            <w:tcW w:type="dxa" w:w="4703"/>
            <w:shd w:val="clear" w:color="auto" w:fill="0f62fe"/>
          </w:tcPr>
          <w:p>
            <w:pPr>
              <w:jc w:val="center"/>
            </w:pPr>
            <w:r>
              <w:rPr>
                <w:b/>
                <w:color w:val="FFFFFF"/>
                <w:sz w:val="20"/>
              </w:rPr>
              <w:t>Class Distribution</w:t>
            </w:r>
          </w:p>
        </w:tc>
      </w:tr>
      <w:tr>
        <w:tc>
          <w:tcPr>
            <w:tcW w:type="dxa" w:w="4703"/>
          </w:tcPr>
          <w:p>
            <w:r>
              <w:rPr>
                <w:sz w:val="20"/>
              </w:rPr>
              <w:t>Before SMOTE — No Attrition</w:t>
            </w:r>
          </w:p>
        </w:tc>
        <w:tc>
          <w:tcPr>
            <w:tcW w:type="dxa" w:w="4703"/>
          </w:tcPr>
          <w:p>
            <w:r>
              <w:rPr>
                <w:sz w:val="20"/>
              </w:rPr>
              <w:t>1,233  (83.9%)</w:t>
            </w:r>
          </w:p>
        </w:tc>
      </w:tr>
      <w:tr>
        <w:tc>
          <w:tcPr>
            <w:tcW w:type="dxa" w:w="4703"/>
          </w:tcPr>
          <w:p>
            <w:r>
              <w:rPr>
                <w:sz w:val="20"/>
              </w:rPr>
              <w:t>Before SMOTE — Attrition</w:t>
            </w:r>
          </w:p>
        </w:tc>
        <w:tc>
          <w:tcPr>
            <w:tcW w:type="dxa" w:w="4703"/>
          </w:tcPr>
          <w:p>
            <w:r>
              <w:rPr>
                <w:sz w:val="20"/>
              </w:rPr>
              <w:t>237  (16.1%)</w:t>
            </w:r>
          </w:p>
        </w:tc>
      </w:tr>
      <w:tr>
        <w:tc>
          <w:tcPr>
            <w:tcW w:type="dxa" w:w="4703"/>
          </w:tcPr>
          <w:p>
            <w:r>
              <w:rPr>
                <w:sz w:val="20"/>
              </w:rPr>
              <w:t>After SMOTE  — No Attrition</w:t>
            </w:r>
          </w:p>
        </w:tc>
        <w:tc>
          <w:tcPr>
            <w:tcW w:type="dxa" w:w="4703"/>
          </w:tcPr>
          <w:p>
            <w:r>
              <w:rPr>
                <w:sz w:val="20"/>
              </w:rPr>
              <w:t>1,233  (50.0%)</w:t>
            </w:r>
          </w:p>
        </w:tc>
      </w:tr>
      <w:tr>
        <w:tc>
          <w:tcPr>
            <w:tcW w:type="dxa" w:w="4703"/>
          </w:tcPr>
          <w:p>
            <w:r>
              <w:rPr>
                <w:sz w:val="20"/>
              </w:rPr>
              <w:t>After SMOTE  — Attrition</w:t>
            </w:r>
          </w:p>
        </w:tc>
        <w:tc>
          <w:tcPr>
            <w:tcW w:type="dxa" w:w="4703"/>
          </w:tcPr>
          <w:p>
            <w:r>
              <w:rPr>
                <w:sz w:val="20"/>
              </w:rPr>
              <w:t>1,233  (50.0%)</w:t>
            </w:r>
          </w:p>
        </w:tc>
      </w:tr>
    </w:tbl>
    <w:p/>
    <w:p>
      <w:pPr>
        <w:pStyle w:val="Heading2"/>
        <w:spacing w:before="200" w:after="80"/>
      </w:pPr>
      <w:r>
        <w:rPr>
          <w:b/>
          <w:color w:val="0F62FE"/>
        </w:rPr>
        <w:t>5.4 Train / Test Split</w:t>
      </w:r>
    </w:p>
    <w:p>
      <w:pPr>
        <w:spacing w:after="80"/>
      </w:pPr>
      <w:r>
        <w:rPr>
          <w:b w:val="0"/>
          <w:i w:val="0"/>
          <w:color w:val="1F2328"/>
          <w:sz w:val="22"/>
        </w:rPr>
        <w:t>After SMOTE, the balanced dataset (2,466 rows) was split 80/20 with stratification:</w:t>
      </w:r>
    </w:p>
    <w:p>
      <w:pPr>
        <w:pStyle w:val="ListBullet"/>
        <w:spacing w:after="60"/>
      </w:pPr>
      <w:r>
        <w:rPr>
          <w:sz w:val="22"/>
        </w:rPr>
        <w:t>Training set: 1,972 rows (80%)</w:t>
      </w:r>
    </w:p>
    <w:p>
      <w:pPr>
        <w:pStyle w:val="ListBullet"/>
        <w:spacing w:after="60"/>
      </w:pPr>
      <w:r>
        <w:rPr>
          <w:sz w:val="22"/>
        </w:rPr>
        <w:t>Test set: 494 rows (20%)</w:t>
      </w:r>
    </w:p>
    <w:p>
      <w:pPr>
        <w:pStyle w:val="ListBullet"/>
        <w:spacing w:after="60"/>
      </w:pPr>
      <w:r>
        <w:rPr>
          <w:sz w:val="22"/>
        </w:rPr>
        <w:t>Stratified split maintains 50/50 class ratio in both sets</w:t>
      </w:r>
    </w:p>
    <w:p>
      <w:r>
        <w:br w:type="page"/>
      </w:r>
    </w:p>
    <w:p>
      <w:pPr>
        <w:pStyle w:val="Heading1"/>
        <w:spacing w:before="320" w:after="120"/>
      </w:pPr>
      <w:r>
        <w:rPr>
          <w:b/>
          <w:color w:val="001141"/>
        </w:rPr>
        <w:t>6. Exploratory Data Analysis (EDA)</w:t>
      </w:r>
    </w:p>
    <w:p>
      <w:pPr>
        <w:spacing w:after="80"/>
      </w:pPr>
      <w:r>
        <w:rPr>
          <w:b w:val="0"/>
          <w:i w:val="0"/>
          <w:color w:val="1F2328"/>
          <w:sz w:val="22"/>
        </w:rPr>
        <w:t>Exploratory analysis was performed on the raw dataset before any preprocessing. Six charts were generated to understand distributions, correlations, and attrition drivers.</w:t>
      </w:r>
    </w:p>
    <w:p>
      <w:pPr>
        <w:pStyle w:val="Heading2"/>
        <w:spacing w:before="200" w:after="80"/>
      </w:pPr>
      <w:r>
        <w:rPr>
          <w:b/>
          <w:color w:val="0F62FE"/>
        </w:rPr>
        <w:t>Figure 6.1: Department Attrition Rate</w:t>
      </w:r>
    </w:p>
    <w:p>
      <w:pPr>
        <w:jc w:val="center"/>
      </w:pPr>
      <w:r>
        <w:drawing>
          <wp:inline xmlns:a="http://schemas.openxmlformats.org/drawingml/2006/main" xmlns:pic="http://schemas.openxmlformats.org/drawingml/2006/picture">
            <wp:extent cx="5669280" cy="2100703"/>
            <wp:docPr id="1" name="Picture 1"/>
            <wp:cNvGraphicFramePr>
              <a:graphicFrameLocks noChangeAspect="1"/>
            </wp:cNvGraphicFramePr>
            <a:graphic>
              <a:graphicData uri="http://schemas.openxmlformats.org/drawingml/2006/picture">
                <pic:pic>
                  <pic:nvPicPr>
                    <pic:cNvPr id="0" name="eda_dept_attrition.png"/>
                    <pic:cNvPicPr/>
                  </pic:nvPicPr>
                  <pic:blipFill>
                    <a:blip r:embed="rId11"/>
                    <a:stretch>
                      <a:fillRect/>
                    </a:stretch>
                  </pic:blipFill>
                  <pic:spPr>
                    <a:xfrm>
                      <a:off x="0" y="0"/>
                      <a:ext cx="5669280" cy="2100703"/>
                    </a:xfrm>
                    <a:prstGeom prst="rect"/>
                  </pic:spPr>
                </pic:pic>
              </a:graphicData>
            </a:graphic>
          </wp:inline>
        </w:drawing>
      </w:r>
    </w:p>
    <w:p>
      <w:pPr>
        <w:spacing w:after="200"/>
        <w:jc w:val="center"/>
      </w:pPr>
      <w:r>
        <w:rPr>
          <w:i/>
          <w:color w:val="57606A"/>
          <w:sz w:val="18"/>
        </w:rPr>
        <w:t>Figure: Figure 6.1: Department Attrition Rate</w:t>
      </w:r>
    </w:p>
    <w:p>
      <w:pPr>
        <w:spacing w:after="160"/>
      </w:pPr>
      <w:r>
        <w:rPr>
          <w:b/>
          <w:color w:val="0F62FE"/>
          <w:sz w:val="20"/>
        </w:rPr>
        <w:t xml:space="preserve">Insight:  </w:t>
      </w:r>
      <w:r>
        <w:rPr>
          <w:color w:val="1F2328"/>
          <w:sz w:val="20"/>
        </w:rPr>
        <w:t>Sales has the highest attrition rate at 20.6%.</w:t>
      </w:r>
    </w:p>
    <w:p>
      <w:pPr>
        <w:pStyle w:val="Heading2"/>
        <w:spacing w:before="200" w:after="80"/>
      </w:pPr>
      <w:r>
        <w:rPr>
          <w:b/>
          <w:color w:val="0F62FE"/>
        </w:rPr>
        <w:t>Figure 6.2: Job Role Attrition Rate</w:t>
      </w:r>
    </w:p>
    <w:p>
      <w:pPr>
        <w:jc w:val="center"/>
      </w:pPr>
      <w:r>
        <w:drawing>
          <wp:inline xmlns:a="http://schemas.openxmlformats.org/drawingml/2006/main" xmlns:pic="http://schemas.openxmlformats.org/drawingml/2006/picture">
            <wp:extent cx="5669280" cy="2100703"/>
            <wp:docPr id="2" name="Picture 2"/>
            <wp:cNvGraphicFramePr>
              <a:graphicFrameLocks noChangeAspect="1"/>
            </wp:cNvGraphicFramePr>
            <a:graphic>
              <a:graphicData uri="http://schemas.openxmlformats.org/drawingml/2006/picture">
                <pic:pic>
                  <pic:nvPicPr>
                    <pic:cNvPr id="0" name="eda_dept_attrition.png"/>
                    <pic:cNvPicPr/>
                  </pic:nvPicPr>
                  <pic:blipFill>
                    <a:blip r:embed="rId11"/>
                    <a:stretch>
                      <a:fillRect/>
                    </a:stretch>
                  </pic:blipFill>
                  <pic:spPr>
                    <a:xfrm>
                      <a:off x="0" y="0"/>
                      <a:ext cx="5669280" cy="2100703"/>
                    </a:xfrm>
                    <a:prstGeom prst="rect"/>
                  </pic:spPr>
                </pic:pic>
              </a:graphicData>
            </a:graphic>
          </wp:inline>
        </w:drawing>
      </w:r>
    </w:p>
    <w:p>
      <w:pPr>
        <w:spacing w:after="200"/>
        <w:jc w:val="center"/>
      </w:pPr>
      <w:r>
        <w:rPr>
          <w:i/>
          <w:color w:val="57606A"/>
          <w:sz w:val="18"/>
        </w:rPr>
        <w:t>Figure: Figure 6.2: Job Role Attrition Rate</w:t>
      </w:r>
    </w:p>
    <w:p>
      <w:pPr>
        <w:spacing w:after="160"/>
      </w:pPr>
      <w:r>
        <w:rPr>
          <w:b/>
          <w:color w:val="0F62FE"/>
          <w:sz w:val="20"/>
        </w:rPr>
        <w:t xml:space="preserve">Insight:  </w:t>
      </w:r>
      <w:r>
        <w:rPr>
          <w:color w:val="1F2328"/>
          <w:sz w:val="20"/>
        </w:rPr>
        <w:t>Sales Representatives show a 39.8% attrition rate, the highest among all job roles.</w:t>
      </w:r>
    </w:p>
    <w:p>
      <w:pPr>
        <w:pStyle w:val="Heading2"/>
        <w:spacing w:before="200" w:after="80"/>
      </w:pPr>
      <w:r>
        <w:rPr>
          <w:b/>
          <w:color w:val="0F62FE"/>
        </w:rPr>
        <w:t>Figure 6.3: Overtime vs Attrition</w:t>
      </w:r>
    </w:p>
    <w:p>
      <w:pPr>
        <w:jc w:val="center"/>
      </w:pPr>
      <w:r>
        <w:drawing>
          <wp:inline xmlns:a="http://schemas.openxmlformats.org/drawingml/2006/main" xmlns:pic="http://schemas.openxmlformats.org/drawingml/2006/picture">
            <wp:extent cx="5669280" cy="2405974"/>
            <wp:docPr id="3" name="Picture 3"/>
            <wp:cNvGraphicFramePr>
              <a:graphicFrameLocks noChangeAspect="1"/>
            </wp:cNvGraphicFramePr>
            <a:graphic>
              <a:graphicData uri="http://schemas.openxmlformats.org/drawingml/2006/picture">
                <pic:pic>
                  <pic:nvPicPr>
                    <pic:cNvPr id="0" name="eda_overtime.png"/>
                    <pic:cNvPicPr/>
                  </pic:nvPicPr>
                  <pic:blipFill>
                    <a:blip r:embed="rId12"/>
                    <a:stretch>
                      <a:fillRect/>
                    </a:stretch>
                  </pic:blipFill>
                  <pic:spPr>
                    <a:xfrm>
                      <a:off x="0" y="0"/>
                      <a:ext cx="5669280" cy="2405974"/>
                    </a:xfrm>
                    <a:prstGeom prst="rect"/>
                  </pic:spPr>
                </pic:pic>
              </a:graphicData>
            </a:graphic>
          </wp:inline>
        </w:drawing>
      </w:r>
    </w:p>
    <w:p>
      <w:pPr>
        <w:spacing w:after="200"/>
        <w:jc w:val="center"/>
      </w:pPr>
      <w:r>
        <w:rPr>
          <w:i/>
          <w:color w:val="57606A"/>
          <w:sz w:val="18"/>
        </w:rPr>
        <w:t>Figure: Figure 6.3: Overtime vs Attrition</w:t>
      </w:r>
    </w:p>
    <w:p>
      <w:pPr>
        <w:spacing w:after="160"/>
      </w:pPr>
      <w:r>
        <w:rPr>
          <w:b/>
          <w:color w:val="0F62FE"/>
          <w:sz w:val="20"/>
        </w:rPr>
        <w:t xml:space="preserve">Insight:  </w:t>
      </w:r>
      <w:r>
        <w:rPr>
          <w:color w:val="1F2328"/>
          <w:sz w:val="20"/>
        </w:rPr>
        <w:t>Employees working overtime leave at a rate 2.9x higher than non-overtime employees.</w:t>
      </w:r>
    </w:p>
    <w:p>
      <w:pPr>
        <w:pStyle w:val="Heading2"/>
        <w:spacing w:before="200" w:after="80"/>
      </w:pPr>
      <w:r>
        <w:rPr>
          <w:b/>
          <w:color w:val="0F62FE"/>
        </w:rPr>
        <w:t>Figure 6.4: Work-Life Balance vs Attrition</w:t>
      </w:r>
    </w:p>
    <w:p>
      <w:pPr>
        <w:jc w:val="center"/>
      </w:pPr>
      <w:r>
        <w:drawing>
          <wp:inline xmlns:a="http://schemas.openxmlformats.org/drawingml/2006/main" xmlns:pic="http://schemas.openxmlformats.org/drawingml/2006/picture">
            <wp:extent cx="5669280" cy="2405974"/>
            <wp:docPr id="4" name="Picture 4"/>
            <wp:cNvGraphicFramePr>
              <a:graphicFrameLocks noChangeAspect="1"/>
            </wp:cNvGraphicFramePr>
            <a:graphic>
              <a:graphicData uri="http://schemas.openxmlformats.org/drawingml/2006/picture">
                <pic:pic>
                  <pic:nvPicPr>
                    <pic:cNvPr id="0" name="eda_overtime.png"/>
                    <pic:cNvPicPr/>
                  </pic:nvPicPr>
                  <pic:blipFill>
                    <a:blip r:embed="rId12"/>
                    <a:stretch>
                      <a:fillRect/>
                    </a:stretch>
                  </pic:blipFill>
                  <pic:spPr>
                    <a:xfrm>
                      <a:off x="0" y="0"/>
                      <a:ext cx="5669280" cy="2405974"/>
                    </a:xfrm>
                    <a:prstGeom prst="rect"/>
                  </pic:spPr>
                </pic:pic>
              </a:graphicData>
            </a:graphic>
          </wp:inline>
        </w:drawing>
      </w:r>
    </w:p>
    <w:p>
      <w:pPr>
        <w:spacing w:after="200"/>
        <w:jc w:val="center"/>
      </w:pPr>
      <w:r>
        <w:rPr>
          <w:i/>
          <w:color w:val="57606A"/>
          <w:sz w:val="18"/>
        </w:rPr>
        <w:t>Figure: Figure 6.4: Work-Life Balance vs Attrition</w:t>
      </w:r>
    </w:p>
    <w:p>
      <w:pPr>
        <w:spacing w:after="160"/>
      </w:pPr>
      <w:r>
        <w:rPr>
          <w:b/>
          <w:color w:val="0F62FE"/>
          <w:sz w:val="20"/>
        </w:rPr>
        <w:t xml:space="preserve">Insight:  </w:t>
      </w:r>
      <w:r>
        <w:rPr>
          <w:color w:val="1F2328"/>
          <w:sz w:val="20"/>
        </w:rPr>
        <w:t>Employees with a work-life balance score of 1 leave at 31%, showing the strongest work stress signal.</w:t>
      </w:r>
    </w:p>
    <w:p>
      <w:pPr>
        <w:pStyle w:val="Heading2"/>
        <w:spacing w:before="200" w:after="80"/>
      </w:pPr>
      <w:r>
        <w:rPr>
          <w:b/>
          <w:color w:val="0F62FE"/>
        </w:rPr>
        <w:t>Figure 6.5: Age Distribution by Attrition</w:t>
      </w:r>
    </w:p>
    <w:p>
      <w:pPr>
        <w:jc w:val="center"/>
      </w:pPr>
      <w:r>
        <w:drawing>
          <wp:inline xmlns:a="http://schemas.openxmlformats.org/drawingml/2006/main" xmlns:pic="http://schemas.openxmlformats.org/drawingml/2006/picture">
            <wp:extent cx="5669280" cy="1997720"/>
            <wp:docPr id="5" name="Picture 5"/>
            <wp:cNvGraphicFramePr>
              <a:graphicFrameLocks noChangeAspect="1"/>
            </wp:cNvGraphicFramePr>
            <a:graphic>
              <a:graphicData uri="http://schemas.openxmlformats.org/drawingml/2006/picture">
                <pic:pic>
                  <pic:nvPicPr>
                    <pic:cNvPr id="0" name="eda_age.png"/>
                    <pic:cNvPicPr/>
                  </pic:nvPicPr>
                  <pic:blipFill>
                    <a:blip r:embed="rId13"/>
                    <a:stretch>
                      <a:fillRect/>
                    </a:stretch>
                  </pic:blipFill>
                  <pic:spPr>
                    <a:xfrm>
                      <a:off x="0" y="0"/>
                      <a:ext cx="5669280" cy="1997720"/>
                    </a:xfrm>
                    <a:prstGeom prst="rect"/>
                  </pic:spPr>
                </pic:pic>
              </a:graphicData>
            </a:graphic>
          </wp:inline>
        </w:drawing>
      </w:r>
    </w:p>
    <w:p>
      <w:pPr>
        <w:spacing w:after="200"/>
        <w:jc w:val="center"/>
      </w:pPr>
      <w:r>
        <w:rPr>
          <w:i/>
          <w:color w:val="57606A"/>
          <w:sz w:val="18"/>
        </w:rPr>
        <w:t>Figure: Figure 6.5: Age Distribution by Attrition</w:t>
      </w:r>
    </w:p>
    <w:p>
      <w:pPr>
        <w:spacing w:after="160"/>
      </w:pPr>
      <w:r>
        <w:rPr>
          <w:b/>
          <w:color w:val="0F62FE"/>
          <w:sz w:val="20"/>
        </w:rPr>
        <w:t xml:space="preserve">Insight:  </w:t>
      </w:r>
      <w:r>
        <w:rPr>
          <w:color w:val="1F2328"/>
          <w:sz w:val="20"/>
        </w:rPr>
        <w:t>Employees aged 25–35 form the highest-risk segment for attrition.</w:t>
      </w:r>
    </w:p>
    <w:p>
      <w:pPr>
        <w:pStyle w:val="Heading2"/>
        <w:spacing w:before="200" w:after="80"/>
      </w:pPr>
      <w:r>
        <w:rPr>
          <w:b/>
          <w:color w:val="0F62FE"/>
        </w:rPr>
        <w:t>Figure 6.6: Income Distribution by Attrition</w:t>
      </w:r>
    </w:p>
    <w:p>
      <w:pPr>
        <w:jc w:val="center"/>
      </w:pPr>
      <w:r>
        <w:drawing>
          <wp:inline xmlns:a="http://schemas.openxmlformats.org/drawingml/2006/main" xmlns:pic="http://schemas.openxmlformats.org/drawingml/2006/picture">
            <wp:extent cx="5669280" cy="1997720"/>
            <wp:docPr id="6" name="Picture 6"/>
            <wp:cNvGraphicFramePr>
              <a:graphicFrameLocks noChangeAspect="1"/>
            </wp:cNvGraphicFramePr>
            <a:graphic>
              <a:graphicData uri="http://schemas.openxmlformats.org/drawingml/2006/picture">
                <pic:pic>
                  <pic:nvPicPr>
                    <pic:cNvPr id="0" name="eda_age.png"/>
                    <pic:cNvPicPr/>
                  </pic:nvPicPr>
                  <pic:blipFill>
                    <a:blip r:embed="rId13"/>
                    <a:stretch>
                      <a:fillRect/>
                    </a:stretch>
                  </pic:blipFill>
                  <pic:spPr>
                    <a:xfrm>
                      <a:off x="0" y="0"/>
                      <a:ext cx="5669280" cy="1997720"/>
                    </a:xfrm>
                    <a:prstGeom prst="rect"/>
                  </pic:spPr>
                </pic:pic>
              </a:graphicData>
            </a:graphic>
          </wp:inline>
        </w:drawing>
      </w:r>
    </w:p>
    <w:p>
      <w:pPr>
        <w:spacing w:after="200"/>
        <w:jc w:val="center"/>
      </w:pPr>
      <w:r>
        <w:rPr>
          <w:i/>
          <w:color w:val="57606A"/>
          <w:sz w:val="18"/>
        </w:rPr>
        <w:t>Figure: Figure 6.6: Income Distribution by Attrition</w:t>
      </w:r>
    </w:p>
    <w:p>
      <w:pPr>
        <w:spacing w:after="160"/>
      </w:pPr>
      <w:r>
        <w:rPr>
          <w:b/>
          <w:color w:val="0F62FE"/>
          <w:sz w:val="20"/>
        </w:rPr>
        <w:t xml:space="preserve">Insight:  </w:t>
      </w:r>
      <w:r>
        <w:rPr>
          <w:color w:val="1F2328"/>
          <w:sz w:val="20"/>
        </w:rPr>
        <w:t>Employees who left earned $2,046 less on average than those who stayed.</w:t>
      </w:r>
    </w:p>
    <w:p>
      <w:pPr>
        <w:pStyle w:val="Heading2"/>
        <w:spacing w:before="200" w:after="80"/>
      </w:pPr>
      <w:r>
        <w:rPr>
          <w:b/>
          <w:color w:val="0F62FE"/>
        </w:rPr>
        <w:t>Figure 6.7: Correlation Heatmap</w:t>
      </w:r>
    </w:p>
    <w:p>
      <w:pPr>
        <w:jc w:val="center"/>
      </w:pPr>
      <w:r>
        <w:drawing>
          <wp:inline xmlns:a="http://schemas.openxmlformats.org/drawingml/2006/main" xmlns:pic="http://schemas.openxmlformats.org/drawingml/2006/picture">
            <wp:extent cx="5669280" cy="4612603"/>
            <wp:docPr id="7" name="Picture 7"/>
            <wp:cNvGraphicFramePr>
              <a:graphicFrameLocks noChangeAspect="1"/>
            </wp:cNvGraphicFramePr>
            <a:graphic>
              <a:graphicData uri="http://schemas.openxmlformats.org/drawingml/2006/picture">
                <pic:pic>
                  <pic:nvPicPr>
                    <pic:cNvPr id="0" name="eda_heatmap.png"/>
                    <pic:cNvPicPr/>
                  </pic:nvPicPr>
                  <pic:blipFill>
                    <a:blip r:embed="rId14"/>
                    <a:stretch>
                      <a:fillRect/>
                    </a:stretch>
                  </pic:blipFill>
                  <pic:spPr>
                    <a:xfrm>
                      <a:off x="0" y="0"/>
                      <a:ext cx="5669280" cy="4612603"/>
                    </a:xfrm>
                    <a:prstGeom prst="rect"/>
                  </pic:spPr>
                </pic:pic>
              </a:graphicData>
            </a:graphic>
          </wp:inline>
        </w:drawing>
      </w:r>
    </w:p>
    <w:p>
      <w:pPr>
        <w:spacing w:after="200"/>
        <w:jc w:val="center"/>
      </w:pPr>
      <w:r>
        <w:rPr>
          <w:i/>
          <w:color w:val="57606A"/>
          <w:sz w:val="18"/>
        </w:rPr>
        <w:t>Figure: Figure 6.7: Correlation Heatmap</w:t>
      </w:r>
    </w:p>
    <w:p>
      <w:pPr>
        <w:spacing w:after="160"/>
      </w:pPr>
      <w:r>
        <w:rPr>
          <w:b/>
          <w:color w:val="0F62FE"/>
          <w:sz w:val="20"/>
        </w:rPr>
        <w:t xml:space="preserve">Insight:  </w:t>
      </w:r>
      <w:r>
        <w:rPr>
          <w:color w:val="1F2328"/>
          <w:sz w:val="20"/>
        </w:rPr>
        <w:t>MonthlyIncome shows the strongest relationship with attrition and correlated progression factors.</w:t>
      </w:r>
    </w:p>
    <w:p>
      <w:pPr>
        <w:pStyle w:val="Heading2"/>
        <w:spacing w:before="200" w:after="80"/>
      </w:pPr>
      <w:r>
        <w:rPr>
          <w:b/>
          <w:color w:val="0F62FE"/>
        </w:rPr>
        <w:t>Figure 6.8: Confusion Matrix</w:t>
      </w:r>
    </w:p>
    <w:p>
      <w:pPr>
        <w:jc w:val="center"/>
      </w:pPr>
      <w:r>
        <w:drawing>
          <wp:inline xmlns:a="http://schemas.openxmlformats.org/drawingml/2006/main" xmlns:pic="http://schemas.openxmlformats.org/drawingml/2006/picture">
            <wp:extent cx="5669280" cy="2102199"/>
            <wp:docPr id="8" name="Picture 8"/>
            <wp:cNvGraphicFramePr>
              <a:graphicFrameLocks noChangeAspect="1"/>
            </wp:cNvGraphicFramePr>
            <a:graphic>
              <a:graphicData uri="http://schemas.openxmlformats.org/drawingml/2006/picture">
                <pic:pic>
                  <pic:nvPicPr>
                    <pic:cNvPr id="0" name="eda_confusion_matrix.png"/>
                    <pic:cNvPicPr/>
                  </pic:nvPicPr>
                  <pic:blipFill>
                    <a:blip r:embed="rId15"/>
                    <a:stretch>
                      <a:fillRect/>
                    </a:stretch>
                  </pic:blipFill>
                  <pic:spPr>
                    <a:xfrm>
                      <a:off x="0" y="0"/>
                      <a:ext cx="5669280" cy="2102199"/>
                    </a:xfrm>
                    <a:prstGeom prst="rect"/>
                  </pic:spPr>
                </pic:pic>
              </a:graphicData>
            </a:graphic>
          </wp:inline>
        </w:drawing>
      </w:r>
    </w:p>
    <w:p>
      <w:pPr>
        <w:spacing w:after="200"/>
        <w:jc w:val="center"/>
      </w:pPr>
      <w:r>
        <w:rPr>
          <w:i/>
          <w:color w:val="57606A"/>
          <w:sz w:val="18"/>
        </w:rPr>
        <w:t>Figure: Figure 6.8: Confusion Matrix</w:t>
      </w:r>
    </w:p>
    <w:p>
      <w:pPr>
        <w:spacing w:after="160"/>
      </w:pPr>
      <w:r>
        <w:rPr>
          <w:b/>
          <w:color w:val="0F62FE"/>
          <w:sz w:val="20"/>
        </w:rPr>
        <w:t xml:space="preserve">Insight:  </w:t>
      </w:r>
      <w:r>
        <w:rPr>
          <w:color w:val="1F2328"/>
          <w:sz w:val="20"/>
        </w:rPr>
        <w:t>The model achieved 88.06% accuracy and 29 false negatives in the test set.</w:t>
      </w:r>
    </w:p>
    <w:p>
      <w:pPr>
        <w:pStyle w:val="Heading2"/>
        <w:spacing w:before="200" w:after="80"/>
      </w:pPr>
      <w:r>
        <w:rPr>
          <w:b/>
          <w:color w:val="0F62FE"/>
        </w:rPr>
        <w:t>Figure 6.9: Feature Importance</w:t>
      </w:r>
    </w:p>
    <w:p>
      <w:pPr>
        <w:jc w:val="center"/>
      </w:pPr>
      <w:r>
        <w:drawing>
          <wp:inline xmlns:a="http://schemas.openxmlformats.org/drawingml/2006/main" xmlns:pic="http://schemas.openxmlformats.org/drawingml/2006/picture">
            <wp:extent cx="5669280" cy="2102199"/>
            <wp:docPr id="9" name="Picture 9"/>
            <wp:cNvGraphicFramePr>
              <a:graphicFrameLocks noChangeAspect="1"/>
            </wp:cNvGraphicFramePr>
            <a:graphic>
              <a:graphicData uri="http://schemas.openxmlformats.org/drawingml/2006/picture">
                <pic:pic>
                  <pic:nvPicPr>
                    <pic:cNvPr id="0" name="eda_confusion_matrix.png"/>
                    <pic:cNvPicPr/>
                  </pic:nvPicPr>
                  <pic:blipFill>
                    <a:blip r:embed="rId15"/>
                    <a:stretch>
                      <a:fillRect/>
                    </a:stretch>
                  </pic:blipFill>
                  <pic:spPr>
                    <a:xfrm>
                      <a:off x="0" y="0"/>
                      <a:ext cx="5669280" cy="2102199"/>
                    </a:xfrm>
                    <a:prstGeom prst="rect"/>
                  </pic:spPr>
                </pic:pic>
              </a:graphicData>
            </a:graphic>
          </wp:inline>
        </w:drawing>
      </w:r>
    </w:p>
    <w:p>
      <w:pPr>
        <w:spacing w:after="200"/>
        <w:jc w:val="center"/>
      </w:pPr>
      <w:r>
        <w:rPr>
          <w:i/>
          <w:color w:val="57606A"/>
          <w:sz w:val="18"/>
        </w:rPr>
        <w:t>Figure: Figure 6.9: Feature Importance</w:t>
      </w:r>
    </w:p>
    <w:p>
      <w:pPr>
        <w:spacing w:after="160"/>
      </w:pPr>
      <w:r>
        <w:rPr>
          <w:b/>
          <w:color w:val="0F62FE"/>
          <w:sz w:val="20"/>
        </w:rPr>
        <w:t xml:space="preserve">Insight:  </w:t>
      </w:r>
      <w:r>
        <w:rPr>
          <w:color w:val="1F2328"/>
          <w:sz w:val="20"/>
        </w:rPr>
        <w:t>StockOptionLevel is the most important feature after income and overtime, showing a strong compensation effect.</w:t>
      </w:r>
    </w:p>
    <w:p>
      <w:pPr>
        <w:pStyle w:val="Heading2"/>
        <w:spacing w:before="200" w:after="80"/>
      </w:pPr>
      <w:r>
        <w:rPr>
          <w:b/>
          <w:color w:val="0F62FE"/>
        </w:rPr>
        <w:t>Figure 6.10: Model Comparison</w:t>
      </w:r>
    </w:p>
    <w:p>
      <w:pPr>
        <w:jc w:val="center"/>
      </w:pPr>
      <w:r>
        <w:drawing>
          <wp:inline xmlns:a="http://schemas.openxmlformats.org/drawingml/2006/main" xmlns:pic="http://schemas.openxmlformats.org/drawingml/2006/picture">
            <wp:extent cx="5669280" cy="2594267"/>
            <wp:docPr id="10" name="Picture 10"/>
            <wp:cNvGraphicFramePr>
              <a:graphicFrameLocks noChangeAspect="1"/>
            </wp:cNvGraphicFramePr>
            <a:graphic>
              <a:graphicData uri="http://schemas.openxmlformats.org/drawingml/2006/picture">
                <pic:pic>
                  <pic:nvPicPr>
                    <pic:cNvPr id="0" name="eda_model_comparison.png"/>
                    <pic:cNvPicPr/>
                  </pic:nvPicPr>
                  <pic:blipFill>
                    <a:blip r:embed="rId16"/>
                    <a:stretch>
                      <a:fillRect/>
                    </a:stretch>
                  </pic:blipFill>
                  <pic:spPr>
                    <a:xfrm>
                      <a:off x="0" y="0"/>
                      <a:ext cx="5669280" cy="2594267"/>
                    </a:xfrm>
                    <a:prstGeom prst="rect"/>
                  </pic:spPr>
                </pic:pic>
              </a:graphicData>
            </a:graphic>
          </wp:inline>
        </w:drawing>
      </w:r>
    </w:p>
    <w:p>
      <w:pPr>
        <w:spacing w:after="200"/>
        <w:jc w:val="center"/>
      </w:pPr>
      <w:r>
        <w:rPr>
          <w:i/>
          <w:color w:val="57606A"/>
          <w:sz w:val="18"/>
        </w:rPr>
        <w:t>Figure: Figure 6.10: Model Comparison</w:t>
      </w:r>
    </w:p>
    <w:p>
      <w:pPr>
        <w:spacing w:after="160"/>
      </w:pPr>
      <w:r>
        <w:rPr>
          <w:b/>
          <w:color w:val="0F62FE"/>
          <w:sz w:val="20"/>
        </w:rPr>
        <w:t xml:space="preserve">Insight:  </w:t>
      </w:r>
      <w:r>
        <w:rPr>
          <w:color w:val="1F2328"/>
          <w:sz w:val="20"/>
        </w:rPr>
        <w:t>XGBoost achieved the highest ROC-AUC at 96.86%, making it the top-performing model.</w:t>
      </w:r>
    </w:p>
    <w:p>
      <w:r>
        <w:br w:type="page"/>
      </w:r>
    </w:p>
    <w:p>
      <w:pPr>
        <w:pStyle w:val="Heading1"/>
        <w:spacing w:before="320" w:after="120"/>
      </w:pPr>
      <w:r>
        <w:rPr>
          <w:b/>
          <w:color w:val="001141"/>
        </w:rPr>
        <w:t>7. Machine Learning Model</w:t>
      </w:r>
    </w:p>
    <w:p>
      <w:pPr>
        <w:pStyle w:val="Heading2"/>
        <w:spacing w:before="200" w:after="80"/>
      </w:pPr>
      <w:r>
        <w:rPr>
          <w:b/>
          <w:color w:val="0F62FE"/>
        </w:rPr>
        <w:t>7.1 Algorithm — Random Forest Classifier</w:t>
      </w:r>
    </w:p>
    <w:p>
      <w:pPr>
        <w:spacing w:after="80"/>
      </w:pPr>
      <w:r>
        <w:rPr>
          <w:b w:val="0"/>
          <w:i w:val="0"/>
          <w:color w:val="1F2328"/>
          <w:sz w:val="22"/>
        </w:rPr>
        <w:t>A Random Forest Classifier was selected for its ability to handle mixed feature types without scaling, built-in feature importance, robustness to overfitting through averaging, and strong performance on tabular datasets.</w:t>
      </w:r>
    </w:p>
    <w:p>
      <w:pPr>
        <w:pStyle w:val="Heading2"/>
        <w:spacing w:before="200" w:after="80"/>
      </w:pPr>
      <w:r>
        <w:rPr>
          <w:b/>
          <w:color w:val="0F62FE"/>
        </w:rPr>
        <w:t>7.2 Hyperparameters</w:t>
      </w:r>
    </w:p>
    <w:tbl>
      <w:tblPr>
        <w:tblStyle w:val="TableGrid"/>
        <w:tblW w:type="auto" w:w="0"/>
        <w:tblLook w:firstColumn="1" w:firstRow="1" w:lastColumn="0" w:lastRow="0" w:noHBand="0" w:noVBand="1" w:val="04A0"/>
      </w:tblPr>
      <w:tblGrid>
        <w:gridCol w:w="4703"/>
        <w:gridCol w:w="4703"/>
      </w:tblGrid>
      <w:tr>
        <w:tc>
          <w:tcPr>
            <w:tcW w:type="dxa" w:w="4703"/>
            <w:shd w:val="clear" w:color="auto" w:fill="0f62fe"/>
          </w:tcPr>
          <w:p>
            <w:pPr>
              <w:jc w:val="center"/>
            </w:pPr>
            <w:r>
              <w:rPr>
                <w:b/>
                <w:color w:val="FFFFFF"/>
                <w:sz w:val="20"/>
              </w:rPr>
              <w:t>Parameter</w:t>
            </w:r>
          </w:p>
        </w:tc>
        <w:tc>
          <w:tcPr>
            <w:tcW w:type="dxa" w:w="4703"/>
            <w:shd w:val="clear" w:color="auto" w:fill="0f62fe"/>
          </w:tcPr>
          <w:p>
            <w:pPr>
              <w:jc w:val="center"/>
            </w:pPr>
            <w:r>
              <w:rPr>
                <w:b/>
                <w:color w:val="FFFFFF"/>
                <w:sz w:val="20"/>
              </w:rPr>
              <w:t>Value</w:t>
            </w:r>
          </w:p>
        </w:tc>
      </w:tr>
      <w:tr>
        <w:tc>
          <w:tcPr>
            <w:tcW w:type="dxa" w:w="4703"/>
          </w:tcPr>
          <w:p>
            <w:pPr>
              <w:jc w:val="center"/>
            </w:pPr>
            <w:r>
              <w:rPr>
                <w:sz w:val="20"/>
              </w:rPr>
              <w:t>n_estimators</w:t>
            </w:r>
          </w:p>
        </w:tc>
        <w:tc>
          <w:tcPr>
            <w:tcW w:type="dxa" w:w="4703"/>
          </w:tcPr>
          <w:p>
            <w:pPr>
              <w:jc w:val="center"/>
            </w:pPr>
            <w:r>
              <w:rPr>
                <w:sz w:val="20"/>
              </w:rPr>
              <w:t>200</w:t>
            </w:r>
          </w:p>
        </w:tc>
      </w:tr>
      <w:tr>
        <w:tc>
          <w:tcPr>
            <w:tcW w:type="dxa" w:w="4703"/>
          </w:tcPr>
          <w:p>
            <w:pPr>
              <w:jc w:val="center"/>
            </w:pPr>
            <w:r>
              <w:rPr>
                <w:sz w:val="20"/>
              </w:rPr>
              <w:t>max_depth</w:t>
            </w:r>
          </w:p>
        </w:tc>
        <w:tc>
          <w:tcPr>
            <w:tcW w:type="dxa" w:w="4703"/>
          </w:tcPr>
          <w:p>
            <w:pPr>
              <w:jc w:val="center"/>
            </w:pPr>
            <w:r>
              <w:rPr>
                <w:sz w:val="20"/>
              </w:rPr>
              <w:t>10</w:t>
            </w:r>
          </w:p>
        </w:tc>
      </w:tr>
      <w:tr>
        <w:tc>
          <w:tcPr>
            <w:tcW w:type="dxa" w:w="4703"/>
          </w:tcPr>
          <w:p>
            <w:pPr>
              <w:jc w:val="center"/>
            </w:pPr>
            <w:r>
              <w:rPr>
                <w:sz w:val="20"/>
              </w:rPr>
              <w:t>min_samples_split</w:t>
            </w:r>
          </w:p>
        </w:tc>
        <w:tc>
          <w:tcPr>
            <w:tcW w:type="dxa" w:w="4703"/>
          </w:tcPr>
          <w:p>
            <w:pPr>
              <w:jc w:val="center"/>
            </w:pPr>
            <w:r>
              <w:rPr>
                <w:sz w:val="20"/>
              </w:rPr>
              <w:t>5</w:t>
            </w:r>
          </w:p>
        </w:tc>
      </w:tr>
      <w:tr>
        <w:tc>
          <w:tcPr>
            <w:tcW w:type="dxa" w:w="4703"/>
          </w:tcPr>
          <w:p>
            <w:pPr>
              <w:jc w:val="center"/>
            </w:pPr>
            <w:r>
              <w:rPr>
                <w:sz w:val="20"/>
              </w:rPr>
              <w:t>class_weight</w:t>
            </w:r>
          </w:p>
        </w:tc>
        <w:tc>
          <w:tcPr>
            <w:tcW w:type="dxa" w:w="4703"/>
          </w:tcPr>
          <w:p>
            <w:pPr>
              <w:jc w:val="center"/>
            </w:pPr>
            <w:r>
              <w:rPr>
                <w:sz w:val="20"/>
              </w:rPr>
              <w:t>balanced</w:t>
            </w:r>
          </w:p>
        </w:tc>
      </w:tr>
      <w:tr>
        <w:tc>
          <w:tcPr>
            <w:tcW w:type="dxa" w:w="4703"/>
          </w:tcPr>
          <w:p>
            <w:pPr>
              <w:jc w:val="center"/>
            </w:pPr>
            <w:r>
              <w:rPr>
                <w:sz w:val="20"/>
              </w:rPr>
              <w:t>random_state</w:t>
            </w:r>
          </w:p>
        </w:tc>
        <w:tc>
          <w:tcPr>
            <w:tcW w:type="dxa" w:w="4703"/>
          </w:tcPr>
          <w:p>
            <w:pPr>
              <w:jc w:val="center"/>
            </w:pPr>
            <w:r>
              <w:rPr>
                <w:sz w:val="20"/>
              </w:rPr>
              <w:t>42</w:t>
            </w:r>
          </w:p>
        </w:tc>
      </w:tr>
      <w:tr>
        <w:tc>
          <w:tcPr>
            <w:tcW w:type="dxa" w:w="4703"/>
          </w:tcPr>
          <w:p>
            <w:pPr>
              <w:jc w:val="center"/>
            </w:pPr>
            <w:r>
              <w:rPr>
                <w:sz w:val="20"/>
              </w:rPr>
              <w:t>n_jobs</w:t>
            </w:r>
          </w:p>
        </w:tc>
        <w:tc>
          <w:tcPr>
            <w:tcW w:type="dxa" w:w="4703"/>
          </w:tcPr>
          <w:p>
            <w:pPr>
              <w:jc w:val="center"/>
            </w:pPr>
            <w:r>
              <w:rPr>
                <w:sz w:val="20"/>
              </w:rPr>
              <w:t>-1  (all CPU cores)</w:t>
            </w:r>
          </w:p>
        </w:tc>
      </w:tr>
    </w:tbl>
    <w:p/>
    <w:p>
      <w:pPr>
        <w:pStyle w:val="Heading2"/>
        <w:spacing w:before="200" w:after="80"/>
      </w:pPr>
      <w:r>
        <w:rPr>
          <w:b/>
          <w:color w:val="0F62FE"/>
        </w:rPr>
        <w:t>7.3 Evaluation Metrics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f62fe"/>
          </w:tcPr>
          <w:p>
            <w:pPr>
              <w:jc w:val="center"/>
            </w:pPr>
            <w:r>
              <w:rPr>
                <w:b/>
                <w:color w:val="FFFFFF"/>
                <w:sz w:val="20"/>
              </w:rPr>
              <w:t>Metric / Class</w:t>
            </w:r>
          </w:p>
        </w:tc>
        <w:tc>
          <w:tcPr>
            <w:tcW w:type="dxa" w:w="1881"/>
            <w:shd w:val="clear" w:color="auto" w:fill="0f62fe"/>
          </w:tcPr>
          <w:p>
            <w:pPr>
              <w:jc w:val="center"/>
            </w:pPr>
            <w:r>
              <w:rPr>
                <w:b/>
                <w:color w:val="FFFFFF"/>
                <w:sz w:val="20"/>
              </w:rPr>
              <w:t>Precision</w:t>
            </w:r>
          </w:p>
        </w:tc>
        <w:tc>
          <w:tcPr>
            <w:tcW w:type="dxa" w:w="1881"/>
            <w:shd w:val="clear" w:color="auto" w:fill="0f62fe"/>
          </w:tcPr>
          <w:p>
            <w:pPr>
              <w:jc w:val="center"/>
            </w:pPr>
            <w:r>
              <w:rPr>
                <w:b/>
                <w:color w:val="FFFFFF"/>
                <w:sz w:val="20"/>
              </w:rPr>
              <w:t>Recall</w:t>
            </w:r>
          </w:p>
        </w:tc>
        <w:tc>
          <w:tcPr>
            <w:tcW w:type="dxa" w:w="1881"/>
            <w:shd w:val="clear" w:color="auto" w:fill="0f62fe"/>
          </w:tcPr>
          <w:p>
            <w:pPr>
              <w:jc w:val="center"/>
            </w:pPr>
            <w:r>
              <w:rPr>
                <w:b/>
                <w:color w:val="FFFFFF"/>
                <w:sz w:val="20"/>
              </w:rPr>
              <w:t>F1-Score</w:t>
            </w:r>
          </w:p>
        </w:tc>
        <w:tc>
          <w:tcPr>
            <w:tcW w:type="dxa" w:w="1881"/>
            <w:shd w:val="clear" w:color="auto" w:fill="0f62fe"/>
          </w:tcPr>
          <w:p>
            <w:pPr>
              <w:jc w:val="center"/>
            </w:pPr>
            <w:r>
              <w:rPr>
                <w:b/>
                <w:color w:val="FFFFFF"/>
                <w:sz w:val="20"/>
              </w:rPr>
              <w:t>Support</w:t>
            </w:r>
          </w:p>
        </w:tc>
      </w:tr>
      <w:tr>
        <w:tc>
          <w:tcPr>
            <w:tcW w:type="dxa" w:w="1881"/>
          </w:tcPr>
          <w:p>
            <w:r>
              <w:rPr>
                <w:sz w:val="20"/>
              </w:rPr>
              <w:t>No Attrition</w:t>
            </w:r>
          </w:p>
        </w:tc>
        <w:tc>
          <w:tcPr>
            <w:tcW w:type="dxa" w:w="1881"/>
          </w:tcPr>
          <w:p>
            <w:r>
              <w:rPr>
                <w:sz w:val="20"/>
              </w:rPr>
              <w:t>88.2%</w:t>
            </w:r>
          </w:p>
        </w:tc>
        <w:tc>
          <w:tcPr>
            <w:tcW w:type="dxa" w:w="1881"/>
          </w:tcPr>
          <w:p>
            <w:r>
              <w:rPr>
                <w:sz w:val="20"/>
              </w:rPr>
              <w:t>87.9%</w:t>
            </w:r>
          </w:p>
        </w:tc>
        <w:tc>
          <w:tcPr>
            <w:tcW w:type="dxa" w:w="1881"/>
          </w:tcPr>
          <w:p>
            <w:r>
              <w:rPr>
                <w:sz w:val="20"/>
              </w:rPr>
              <w:t>88.0%</w:t>
            </w:r>
          </w:p>
        </w:tc>
        <w:tc>
          <w:tcPr>
            <w:tcW w:type="dxa" w:w="1881"/>
          </w:tcPr>
          <w:p>
            <w:r>
              <w:rPr>
                <w:sz w:val="20"/>
              </w:rPr>
              <w:t>247</w:t>
            </w:r>
          </w:p>
        </w:tc>
      </w:tr>
      <w:tr>
        <w:tc>
          <w:tcPr>
            <w:tcW w:type="dxa" w:w="1881"/>
          </w:tcPr>
          <w:p>
            <w:r>
              <w:rPr>
                <w:sz w:val="20"/>
              </w:rPr>
              <w:t>Attrition</w:t>
            </w:r>
          </w:p>
        </w:tc>
        <w:tc>
          <w:tcPr>
            <w:tcW w:type="dxa" w:w="1881"/>
          </w:tcPr>
          <w:p>
            <w:r>
              <w:rPr>
                <w:sz w:val="20"/>
              </w:rPr>
              <w:t>87.9%</w:t>
            </w:r>
          </w:p>
        </w:tc>
        <w:tc>
          <w:tcPr>
            <w:tcW w:type="dxa" w:w="1881"/>
          </w:tcPr>
          <w:p>
            <w:r>
              <w:rPr>
                <w:sz w:val="20"/>
              </w:rPr>
              <w:t>88.3%</w:t>
            </w:r>
          </w:p>
        </w:tc>
        <w:tc>
          <w:tcPr>
            <w:tcW w:type="dxa" w:w="1881"/>
          </w:tcPr>
          <w:p>
            <w:r>
              <w:rPr>
                <w:sz w:val="20"/>
              </w:rPr>
              <w:t>88.1%</w:t>
            </w:r>
          </w:p>
        </w:tc>
        <w:tc>
          <w:tcPr>
            <w:tcW w:type="dxa" w:w="1881"/>
          </w:tcPr>
          <w:p>
            <w:r>
              <w:rPr>
                <w:sz w:val="20"/>
              </w:rPr>
              <w:t>247</w:t>
            </w:r>
          </w:p>
        </w:tc>
      </w:tr>
      <w:tr>
        <w:tc>
          <w:tcPr>
            <w:tcW w:type="dxa" w:w="1881"/>
          </w:tcPr>
          <w:p>
            <w:r>
              <w:rPr>
                <w:sz w:val="20"/>
              </w:rPr>
              <w:t>Macro Average</w:t>
            </w:r>
          </w:p>
        </w:tc>
        <w:tc>
          <w:tcPr>
            <w:tcW w:type="dxa" w:w="1881"/>
          </w:tcPr>
          <w:p>
            <w:r>
              <w:rPr>
                <w:sz w:val="20"/>
              </w:rPr>
              <w:t>88.1%</w:t>
            </w:r>
          </w:p>
        </w:tc>
        <w:tc>
          <w:tcPr>
            <w:tcW w:type="dxa" w:w="1881"/>
          </w:tcPr>
          <w:p>
            <w:r>
              <w:rPr>
                <w:sz w:val="20"/>
              </w:rPr>
              <w:t>88.1%</w:t>
            </w:r>
          </w:p>
        </w:tc>
        <w:tc>
          <w:tcPr>
            <w:tcW w:type="dxa" w:w="1881"/>
          </w:tcPr>
          <w:p>
            <w:r>
              <w:rPr>
                <w:sz w:val="20"/>
              </w:rPr>
              <w:t>88.1%</w:t>
            </w:r>
          </w:p>
        </w:tc>
        <w:tc>
          <w:tcPr>
            <w:tcW w:type="dxa" w:w="1881"/>
          </w:tcPr>
          <w:p>
            <w:r>
              <w:rPr>
                <w:sz w:val="20"/>
              </w:rPr>
              <w:t>494</w:t>
            </w:r>
          </w:p>
        </w:tc>
      </w:tr>
      <w:tr>
        <w:tc>
          <w:tcPr>
            <w:tcW w:type="dxa" w:w="1881"/>
          </w:tcPr>
          <w:p>
            <w:r>
              <w:rPr>
                <w:sz w:val="20"/>
              </w:rPr>
            </w:r>
          </w:p>
        </w:tc>
        <w:tc>
          <w:tcPr>
            <w:tcW w:type="dxa" w:w="1881"/>
          </w:tcPr>
          <w:p>
            <w:r>
              <w:rPr>
                <w:sz w:val="20"/>
              </w:rPr>
            </w:r>
          </w:p>
        </w:tc>
        <w:tc>
          <w:tcPr>
            <w:tcW w:type="dxa" w:w="1881"/>
          </w:tcPr>
          <w:p>
            <w:r>
              <w:rPr>
                <w:sz w:val="20"/>
              </w:rPr>
            </w:r>
          </w:p>
        </w:tc>
        <w:tc>
          <w:tcPr>
            <w:tcW w:type="dxa" w:w="1881"/>
          </w:tcPr>
          <w:p>
            <w:r>
              <w:rPr>
                <w:sz w:val="20"/>
              </w:rPr>
            </w:r>
          </w:p>
        </w:tc>
        <w:tc>
          <w:tcPr>
            <w:tcW w:type="dxa" w:w="1881"/>
          </w:tcPr>
          <w:p>
            <w:r>
              <w:rPr>
                <w:sz w:val="20"/>
              </w:rPr>
            </w:r>
          </w:p>
        </w:tc>
      </w:tr>
      <w:tr>
        <w:tc>
          <w:tcPr>
            <w:tcW w:type="dxa" w:w="1881"/>
          </w:tcPr>
          <w:p>
            <w:r>
              <w:rPr>
                <w:sz w:val="20"/>
              </w:rPr>
              <w:t>Overall Accuracy: 88.06%  |  ROC-AUC: 95.33%</w:t>
            </w:r>
          </w:p>
        </w:tc>
        <w:tc>
          <w:tcPr>
            <w:tcW w:type="dxa" w:w="1881"/>
          </w:tcPr>
          <w:p>
            <w:r>
              <w:rPr>
                <w:sz w:val="20"/>
              </w:rPr>
            </w:r>
          </w:p>
        </w:tc>
        <w:tc>
          <w:tcPr>
            <w:tcW w:type="dxa" w:w="1881"/>
          </w:tcPr>
          <w:p>
            <w:r>
              <w:rPr>
                <w:sz w:val="20"/>
              </w:rPr>
            </w:r>
          </w:p>
        </w:tc>
        <w:tc>
          <w:tcPr>
            <w:tcW w:type="dxa" w:w="1881"/>
          </w:tcPr>
          <w:p>
            <w:r>
              <w:rPr>
                <w:sz w:val="20"/>
              </w:rPr>
            </w:r>
          </w:p>
        </w:tc>
        <w:tc>
          <w:tcPr>
            <w:tcW w:type="dxa" w:w="1881"/>
          </w:tcPr>
          <w:p>
            <w:r>
              <w:rPr>
                <w:sz w:val="20"/>
              </w:rPr>
            </w:r>
          </w:p>
        </w:tc>
      </w:tr>
    </w:tbl>
    <w:p/>
    <w:p>
      <w:pPr>
        <w:spacing w:after="80"/>
      </w:pPr>
      <w:r>
        <w:rPr>
          <w:b/>
          <w:i w:val="0"/>
          <w:color w:val="001141"/>
          <w:sz w:val="22"/>
        </w:rPr>
        <w:t>Accuracy: 88.06%  |  ROC-AUC: 95.33%</w:t>
      </w:r>
    </w:p>
    <w:p/>
    <w:p>
      <w:pPr>
        <w:pStyle w:val="Heading2"/>
        <w:spacing w:before="200" w:after="80"/>
      </w:pPr>
      <w:r>
        <w:rPr>
          <w:b/>
          <w:color w:val="0F62FE"/>
        </w:rPr>
        <w:t>7.4 Confusion Matrix and Feature Importance</w:t>
      </w:r>
    </w:p>
    <w:p>
      <w:pPr>
        <w:jc w:val="center"/>
      </w:pPr>
      <w:r>
        <w:drawing>
          <wp:inline xmlns:a="http://schemas.openxmlformats.org/drawingml/2006/main" xmlns:pic="http://schemas.openxmlformats.org/drawingml/2006/picture">
            <wp:extent cx="5486400" cy="2034387"/>
            <wp:docPr id="11" name="Picture 11"/>
            <wp:cNvGraphicFramePr>
              <a:graphicFrameLocks noChangeAspect="1"/>
            </wp:cNvGraphicFramePr>
            <a:graphic>
              <a:graphicData uri="http://schemas.openxmlformats.org/drawingml/2006/picture">
                <pic:pic>
                  <pic:nvPicPr>
                    <pic:cNvPr id="0" name="chart6_confusion_feature_importance.png"/>
                    <pic:cNvPicPr/>
                  </pic:nvPicPr>
                  <pic:blipFill>
                    <a:blip r:embed="rId17"/>
                    <a:stretch>
                      <a:fillRect/>
                    </a:stretch>
                  </pic:blipFill>
                  <pic:spPr>
                    <a:xfrm>
                      <a:off x="0" y="0"/>
                      <a:ext cx="5486400" cy="2034387"/>
                    </a:xfrm>
                    <a:prstGeom prst="rect"/>
                  </pic:spPr>
                </pic:pic>
              </a:graphicData>
            </a:graphic>
          </wp:inline>
        </w:drawing>
      </w:r>
    </w:p>
    <w:p>
      <w:pPr>
        <w:spacing w:after="200"/>
        <w:jc w:val="center"/>
      </w:pPr>
      <w:r>
        <w:rPr>
          <w:i/>
          <w:color w:val="57606A"/>
          <w:sz w:val="18"/>
        </w:rPr>
        <w:t>Figure: Confusion Matrix (left) and Top 15 Feature Importances (right)</w:t>
      </w:r>
    </w:p>
    <w:p>
      <w:pPr>
        <w:pStyle w:val="Heading2"/>
        <w:spacing w:before="200" w:after="80"/>
      </w:pPr>
      <w:r>
        <w:rPr>
          <w:b/>
          <w:color w:val="0F62FE"/>
        </w:rPr>
        <w:t>7.5 Top 15 Features Explained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f62fe"/>
          </w:tcPr>
          <w:p>
            <w:pPr>
              <w:jc w:val="center"/>
            </w:pPr>
            <w:r>
              <w:rPr>
                <w:b/>
                <w:color w:val="FFFFFF"/>
                <w:sz w:val="20"/>
              </w:rPr>
              <w:t>Rank</w:t>
            </w:r>
          </w:p>
        </w:tc>
        <w:tc>
          <w:tcPr>
            <w:tcW w:type="dxa" w:w="2351"/>
            <w:shd w:val="clear" w:color="auto" w:fill="0f62fe"/>
          </w:tcPr>
          <w:p>
            <w:pPr>
              <w:jc w:val="center"/>
            </w:pPr>
            <w:r>
              <w:rPr>
                <w:b/>
                <w:color w:val="FFFFFF"/>
                <w:sz w:val="20"/>
              </w:rPr>
              <w:t>Feature</w:t>
            </w:r>
          </w:p>
        </w:tc>
        <w:tc>
          <w:tcPr>
            <w:tcW w:type="dxa" w:w="2351"/>
            <w:shd w:val="clear" w:color="auto" w:fill="0f62fe"/>
          </w:tcPr>
          <w:p>
            <w:pPr>
              <w:jc w:val="center"/>
            </w:pPr>
            <w:r>
              <w:rPr>
                <w:b/>
                <w:color w:val="FFFFFF"/>
                <w:sz w:val="20"/>
              </w:rPr>
              <w:t>Importance</w:t>
            </w:r>
          </w:p>
        </w:tc>
        <w:tc>
          <w:tcPr>
            <w:tcW w:type="dxa" w:w="2351"/>
            <w:shd w:val="clear" w:color="auto" w:fill="0f62fe"/>
          </w:tcPr>
          <w:p>
            <w:pPr>
              <w:jc w:val="center"/>
            </w:pPr>
            <w:r>
              <w:rPr>
                <w:b/>
                <w:color w:val="FFFFFF"/>
                <w:sz w:val="20"/>
              </w:rPr>
              <w:t>Interpretation</w:t>
            </w:r>
          </w:p>
        </w:tc>
      </w:tr>
      <w:tr>
        <w:tc>
          <w:tcPr>
            <w:tcW w:type="dxa" w:w="2351"/>
          </w:tcPr>
          <w:p>
            <w:r>
              <w:rPr>
                <w:sz w:val="20"/>
              </w:rPr>
              <w:t>1</w:t>
            </w:r>
          </w:p>
        </w:tc>
        <w:tc>
          <w:tcPr>
            <w:tcW w:type="dxa" w:w="2351"/>
          </w:tcPr>
          <w:p>
            <w:r>
              <w:rPr>
                <w:sz w:val="20"/>
              </w:rPr>
              <w:t>MonthlyIncome</w:t>
            </w:r>
          </w:p>
        </w:tc>
        <w:tc>
          <w:tcPr>
            <w:tcW w:type="dxa" w:w="2351"/>
          </w:tcPr>
          <w:p>
            <w:r>
              <w:rPr>
                <w:sz w:val="20"/>
              </w:rPr>
              <w:t>0.142</w:t>
            </w:r>
          </w:p>
        </w:tc>
        <w:tc>
          <w:tcPr>
            <w:tcW w:type="dxa" w:w="2351"/>
          </w:tcPr>
          <w:p>
            <w:r>
              <w:rPr>
                <w:sz w:val="20"/>
              </w:rPr>
              <w:t>Primary financial driver — lower income strongly predicts leaving</w:t>
            </w:r>
          </w:p>
        </w:tc>
      </w:tr>
      <w:tr>
        <w:tc>
          <w:tcPr>
            <w:tcW w:type="dxa" w:w="2351"/>
          </w:tcPr>
          <w:p>
            <w:r>
              <w:rPr>
                <w:sz w:val="20"/>
              </w:rPr>
              <w:t>2</w:t>
            </w:r>
          </w:p>
        </w:tc>
        <w:tc>
          <w:tcPr>
            <w:tcW w:type="dxa" w:w="2351"/>
          </w:tcPr>
          <w:p>
            <w:r>
              <w:rPr>
                <w:sz w:val="20"/>
              </w:rPr>
              <w:t>OverTime</w:t>
            </w:r>
          </w:p>
        </w:tc>
        <w:tc>
          <w:tcPr>
            <w:tcW w:type="dxa" w:w="2351"/>
          </w:tcPr>
          <w:p>
            <w:r>
              <w:rPr>
                <w:sz w:val="20"/>
              </w:rPr>
              <w:t>0.118</w:t>
            </w:r>
          </w:p>
        </w:tc>
        <w:tc>
          <w:tcPr>
            <w:tcW w:type="dxa" w:w="2351"/>
          </w:tcPr>
          <w:p>
            <w:r>
              <w:rPr>
                <w:sz w:val="20"/>
              </w:rPr>
              <w:t>Strongest behavioural indicator — overtime workers are 3x more likely to leave</w:t>
            </w:r>
          </w:p>
        </w:tc>
      </w:tr>
      <w:tr>
        <w:tc>
          <w:tcPr>
            <w:tcW w:type="dxa" w:w="2351"/>
          </w:tcPr>
          <w:p>
            <w:r>
              <w:rPr>
                <w:sz w:val="20"/>
              </w:rPr>
              <w:t>3</w:t>
            </w:r>
          </w:p>
        </w:tc>
        <w:tc>
          <w:tcPr>
            <w:tcW w:type="dxa" w:w="2351"/>
          </w:tcPr>
          <w:p>
            <w:r>
              <w:rPr>
                <w:sz w:val="20"/>
              </w:rPr>
              <w:t>Age</w:t>
            </w:r>
          </w:p>
        </w:tc>
        <w:tc>
          <w:tcPr>
            <w:tcW w:type="dxa" w:w="2351"/>
          </w:tcPr>
          <w:p>
            <w:r>
              <w:rPr>
                <w:sz w:val="20"/>
              </w:rPr>
              <w:t>0.097</w:t>
            </w:r>
          </w:p>
        </w:tc>
        <w:tc>
          <w:tcPr>
            <w:tcW w:type="dxa" w:w="2351"/>
          </w:tcPr>
          <w:p>
            <w:r>
              <w:rPr>
                <w:sz w:val="20"/>
              </w:rPr>
              <w:t>Younger employees (25-35) show highest attrition rates</w:t>
            </w:r>
          </w:p>
        </w:tc>
      </w:tr>
      <w:tr>
        <w:tc>
          <w:tcPr>
            <w:tcW w:type="dxa" w:w="2351"/>
          </w:tcPr>
          <w:p>
            <w:r>
              <w:rPr>
                <w:sz w:val="20"/>
              </w:rPr>
              <w:t>4</w:t>
            </w:r>
          </w:p>
        </w:tc>
        <w:tc>
          <w:tcPr>
            <w:tcW w:type="dxa" w:w="2351"/>
          </w:tcPr>
          <w:p>
            <w:r>
              <w:rPr>
                <w:sz w:val="20"/>
              </w:rPr>
              <w:t>TotalWorkingYears</w:t>
            </w:r>
          </w:p>
        </w:tc>
        <w:tc>
          <w:tcPr>
            <w:tcW w:type="dxa" w:w="2351"/>
          </w:tcPr>
          <w:p>
            <w:r>
              <w:rPr>
                <w:sz w:val="20"/>
              </w:rPr>
              <w:t>0.089</w:t>
            </w:r>
          </w:p>
        </w:tc>
        <w:tc>
          <w:tcPr>
            <w:tcW w:type="dxa" w:w="2351"/>
          </w:tcPr>
          <w:p>
            <w:r>
              <w:rPr>
                <w:sz w:val="20"/>
              </w:rPr>
              <w:t>Less experienced workers leave more frequently</w:t>
            </w:r>
          </w:p>
        </w:tc>
      </w:tr>
      <w:tr>
        <w:tc>
          <w:tcPr>
            <w:tcW w:type="dxa" w:w="2351"/>
          </w:tcPr>
          <w:p>
            <w:r>
              <w:rPr>
                <w:sz w:val="20"/>
              </w:rPr>
              <w:t>5</w:t>
            </w:r>
          </w:p>
        </w:tc>
        <w:tc>
          <w:tcPr>
            <w:tcW w:type="dxa" w:w="2351"/>
          </w:tcPr>
          <w:p>
            <w:r>
              <w:rPr>
                <w:sz w:val="20"/>
              </w:rPr>
              <w:t>StockOptionLevel</w:t>
            </w:r>
          </w:p>
        </w:tc>
        <w:tc>
          <w:tcPr>
            <w:tcW w:type="dxa" w:w="2351"/>
          </w:tcPr>
          <w:p>
            <w:r>
              <w:rPr>
                <w:sz w:val="20"/>
              </w:rPr>
              <w:t>0.071</w:t>
            </w:r>
          </w:p>
        </w:tc>
        <w:tc>
          <w:tcPr>
            <w:tcW w:type="dxa" w:w="2351"/>
          </w:tcPr>
          <w:p>
            <w:r>
              <w:rPr>
                <w:sz w:val="20"/>
              </w:rPr>
              <w:t>Employees without stock options (level 0) have far higher attrition</w:t>
            </w:r>
          </w:p>
        </w:tc>
      </w:tr>
      <w:tr>
        <w:tc>
          <w:tcPr>
            <w:tcW w:type="dxa" w:w="2351"/>
          </w:tcPr>
          <w:p>
            <w:r>
              <w:rPr>
                <w:sz w:val="20"/>
              </w:rPr>
              <w:t>6</w:t>
            </w:r>
          </w:p>
        </w:tc>
        <w:tc>
          <w:tcPr>
            <w:tcW w:type="dxa" w:w="2351"/>
          </w:tcPr>
          <w:p>
            <w:r>
              <w:rPr>
                <w:sz w:val="20"/>
              </w:rPr>
              <w:t>YearsAtCompany</w:t>
            </w:r>
          </w:p>
        </w:tc>
        <w:tc>
          <w:tcPr>
            <w:tcW w:type="dxa" w:w="2351"/>
          </w:tcPr>
          <w:p>
            <w:r>
              <w:rPr>
                <w:sz w:val="20"/>
              </w:rPr>
              <w:t>0.068</w:t>
            </w:r>
          </w:p>
        </w:tc>
        <w:tc>
          <w:tcPr>
            <w:tcW w:type="dxa" w:w="2351"/>
          </w:tcPr>
          <w:p>
            <w:r>
              <w:rPr>
                <w:sz w:val="20"/>
              </w:rPr>
              <w:t>Short-tenure (0-2 years) employees are highest-risk group</w:t>
            </w:r>
          </w:p>
        </w:tc>
      </w:tr>
      <w:tr>
        <w:tc>
          <w:tcPr>
            <w:tcW w:type="dxa" w:w="2351"/>
          </w:tcPr>
          <w:p>
            <w:r>
              <w:rPr>
                <w:sz w:val="20"/>
              </w:rPr>
              <w:t>7</w:t>
            </w:r>
          </w:p>
        </w:tc>
        <w:tc>
          <w:tcPr>
            <w:tcW w:type="dxa" w:w="2351"/>
          </w:tcPr>
          <w:p>
            <w:r>
              <w:rPr>
                <w:sz w:val="20"/>
              </w:rPr>
              <w:t>MonthlyRate</w:t>
            </w:r>
          </w:p>
        </w:tc>
        <w:tc>
          <w:tcPr>
            <w:tcW w:type="dxa" w:w="2351"/>
          </w:tcPr>
          <w:p>
            <w:r>
              <w:rPr>
                <w:sz w:val="20"/>
              </w:rPr>
              <w:t>0.055</w:t>
            </w:r>
          </w:p>
        </w:tc>
        <w:tc>
          <w:tcPr>
            <w:tcW w:type="dxa" w:w="2351"/>
          </w:tcPr>
          <w:p>
            <w:r>
              <w:rPr>
                <w:sz w:val="20"/>
              </w:rPr>
              <w:t>Monthly pay rate correlates with retention probability</w:t>
            </w:r>
          </w:p>
        </w:tc>
      </w:tr>
      <w:tr>
        <w:tc>
          <w:tcPr>
            <w:tcW w:type="dxa" w:w="2351"/>
          </w:tcPr>
          <w:p>
            <w:r>
              <w:rPr>
                <w:sz w:val="20"/>
              </w:rPr>
              <w:t>8</w:t>
            </w:r>
          </w:p>
        </w:tc>
        <w:tc>
          <w:tcPr>
            <w:tcW w:type="dxa" w:w="2351"/>
          </w:tcPr>
          <w:p>
            <w:r>
              <w:rPr>
                <w:sz w:val="20"/>
              </w:rPr>
              <w:t>DailyRate</w:t>
            </w:r>
          </w:p>
        </w:tc>
        <w:tc>
          <w:tcPr>
            <w:tcW w:type="dxa" w:w="2351"/>
          </w:tcPr>
          <w:p>
            <w:r>
              <w:rPr>
                <w:sz w:val="20"/>
              </w:rPr>
              <w:t>0.051</w:t>
            </w:r>
          </w:p>
        </w:tc>
        <w:tc>
          <w:tcPr>
            <w:tcW w:type="dxa" w:w="2351"/>
          </w:tcPr>
          <w:p>
            <w:r>
              <w:rPr>
                <w:sz w:val="20"/>
              </w:rPr>
              <w:t>Daily compensation affects job satisfaction and retention</w:t>
            </w:r>
          </w:p>
        </w:tc>
      </w:tr>
      <w:tr>
        <w:tc>
          <w:tcPr>
            <w:tcW w:type="dxa" w:w="2351"/>
          </w:tcPr>
          <w:p>
            <w:r>
              <w:rPr>
                <w:sz w:val="20"/>
              </w:rPr>
              <w:t>9</w:t>
            </w:r>
          </w:p>
        </w:tc>
        <w:tc>
          <w:tcPr>
            <w:tcW w:type="dxa" w:w="2351"/>
          </w:tcPr>
          <w:p>
            <w:r>
              <w:rPr>
                <w:sz w:val="20"/>
              </w:rPr>
              <w:t>JobLevel</w:t>
            </w:r>
          </w:p>
        </w:tc>
        <w:tc>
          <w:tcPr>
            <w:tcW w:type="dxa" w:w="2351"/>
          </w:tcPr>
          <w:p>
            <w:r>
              <w:rPr>
                <w:sz w:val="20"/>
              </w:rPr>
              <w:t>0.048</w:t>
            </w:r>
          </w:p>
        </w:tc>
        <w:tc>
          <w:tcPr>
            <w:tcW w:type="dxa" w:w="2351"/>
          </w:tcPr>
          <w:p>
            <w:r>
              <w:rPr>
                <w:sz w:val="20"/>
              </w:rPr>
              <w:t>Entry-level employees (level 1) leave significantly more often</w:t>
            </w:r>
          </w:p>
        </w:tc>
      </w:tr>
      <w:tr>
        <w:tc>
          <w:tcPr>
            <w:tcW w:type="dxa" w:w="2351"/>
          </w:tcPr>
          <w:p>
            <w:r>
              <w:rPr>
                <w:sz w:val="20"/>
              </w:rPr>
              <w:t>10</w:t>
            </w:r>
          </w:p>
        </w:tc>
        <w:tc>
          <w:tcPr>
            <w:tcW w:type="dxa" w:w="2351"/>
          </w:tcPr>
          <w:p>
            <w:r>
              <w:rPr>
                <w:sz w:val="20"/>
              </w:rPr>
              <w:t>YearsInCurrentRole</w:t>
            </w:r>
          </w:p>
        </w:tc>
        <w:tc>
          <w:tcPr>
            <w:tcW w:type="dxa" w:w="2351"/>
          </w:tcPr>
          <w:p>
            <w:r>
              <w:rPr>
                <w:sz w:val="20"/>
              </w:rPr>
              <w:t>0.046</w:t>
            </w:r>
          </w:p>
        </w:tc>
        <w:tc>
          <w:tcPr>
            <w:tcW w:type="dxa" w:w="2351"/>
          </w:tcPr>
          <w:p>
            <w:r>
              <w:rPr>
                <w:sz w:val="20"/>
              </w:rPr>
              <w:t>Stagnation in same role drives dissatisfaction and departure</w:t>
            </w:r>
          </w:p>
        </w:tc>
      </w:tr>
      <w:tr>
        <w:tc>
          <w:tcPr>
            <w:tcW w:type="dxa" w:w="2351"/>
          </w:tcPr>
          <w:p>
            <w:r>
              <w:rPr>
                <w:sz w:val="20"/>
              </w:rPr>
              <w:t>11</w:t>
            </w:r>
          </w:p>
        </w:tc>
        <w:tc>
          <w:tcPr>
            <w:tcW w:type="dxa" w:w="2351"/>
          </w:tcPr>
          <w:p>
            <w:r>
              <w:rPr>
                <w:sz w:val="20"/>
              </w:rPr>
              <w:t>DistanceFromHome</w:t>
            </w:r>
          </w:p>
        </w:tc>
        <w:tc>
          <w:tcPr>
            <w:tcW w:type="dxa" w:w="2351"/>
          </w:tcPr>
          <w:p>
            <w:r>
              <w:rPr>
                <w:sz w:val="20"/>
              </w:rPr>
              <w:t>0.044</w:t>
            </w:r>
          </w:p>
        </w:tc>
        <w:tc>
          <w:tcPr>
            <w:tcW w:type="dxa" w:w="2351"/>
          </w:tcPr>
          <w:p>
            <w:r>
              <w:rPr>
                <w:sz w:val="20"/>
              </w:rPr>
              <w:t>Long commutes correlate with increased attrition probability</w:t>
            </w:r>
          </w:p>
        </w:tc>
      </w:tr>
      <w:tr>
        <w:tc>
          <w:tcPr>
            <w:tcW w:type="dxa" w:w="2351"/>
          </w:tcPr>
          <w:p>
            <w:r>
              <w:rPr>
                <w:sz w:val="20"/>
              </w:rPr>
              <w:t>12</w:t>
            </w:r>
          </w:p>
        </w:tc>
        <w:tc>
          <w:tcPr>
            <w:tcW w:type="dxa" w:w="2351"/>
          </w:tcPr>
          <w:p>
            <w:r>
              <w:rPr>
                <w:sz w:val="20"/>
              </w:rPr>
              <w:t>YearsWithCurrManager</w:t>
            </w:r>
          </w:p>
        </w:tc>
        <w:tc>
          <w:tcPr>
            <w:tcW w:type="dxa" w:w="2351"/>
          </w:tcPr>
          <w:p>
            <w:r>
              <w:rPr>
                <w:sz w:val="20"/>
              </w:rPr>
              <w:t>0.041</w:t>
            </w:r>
          </w:p>
        </w:tc>
        <w:tc>
          <w:tcPr>
            <w:tcW w:type="dxa" w:w="2351"/>
          </w:tcPr>
          <w:p>
            <w:r>
              <w:rPr>
                <w:sz w:val="20"/>
              </w:rPr>
              <w:t>Manager relationship quality affects retention</w:t>
            </w:r>
          </w:p>
        </w:tc>
      </w:tr>
      <w:tr>
        <w:tc>
          <w:tcPr>
            <w:tcW w:type="dxa" w:w="2351"/>
          </w:tcPr>
          <w:p>
            <w:r>
              <w:rPr>
                <w:sz w:val="20"/>
              </w:rPr>
              <w:t>13</w:t>
            </w:r>
          </w:p>
        </w:tc>
        <w:tc>
          <w:tcPr>
            <w:tcW w:type="dxa" w:w="2351"/>
          </w:tcPr>
          <w:p>
            <w:r>
              <w:rPr>
                <w:sz w:val="20"/>
              </w:rPr>
              <w:t>EnvironmentSatisfaction</w:t>
            </w:r>
          </w:p>
        </w:tc>
        <w:tc>
          <w:tcPr>
            <w:tcW w:type="dxa" w:w="2351"/>
          </w:tcPr>
          <w:p>
            <w:r>
              <w:rPr>
                <w:sz w:val="20"/>
              </w:rPr>
              <w:t>0.039</w:t>
            </w:r>
          </w:p>
        </w:tc>
        <w:tc>
          <w:tcPr>
            <w:tcW w:type="dxa" w:w="2351"/>
          </w:tcPr>
          <w:p>
            <w:r>
              <w:rPr>
                <w:sz w:val="20"/>
              </w:rPr>
              <w:t>Work environment quality is a significant early-warning indicator</w:t>
            </w:r>
          </w:p>
        </w:tc>
      </w:tr>
      <w:tr>
        <w:tc>
          <w:tcPr>
            <w:tcW w:type="dxa" w:w="2351"/>
          </w:tcPr>
          <w:p>
            <w:r>
              <w:rPr>
                <w:sz w:val="20"/>
              </w:rPr>
              <w:t>14</w:t>
            </w:r>
          </w:p>
        </w:tc>
        <w:tc>
          <w:tcPr>
            <w:tcW w:type="dxa" w:w="2351"/>
          </w:tcPr>
          <w:p>
            <w:r>
              <w:rPr>
                <w:sz w:val="20"/>
              </w:rPr>
              <w:t>JobInvolvement</w:t>
            </w:r>
          </w:p>
        </w:tc>
        <w:tc>
          <w:tcPr>
            <w:tcW w:type="dxa" w:w="2351"/>
          </w:tcPr>
          <w:p>
            <w:r>
              <w:rPr>
                <w:sz w:val="20"/>
              </w:rPr>
              <w:t>0.036</w:t>
            </w:r>
          </w:p>
        </w:tc>
        <w:tc>
          <w:tcPr>
            <w:tcW w:type="dxa" w:w="2351"/>
          </w:tcPr>
          <w:p>
            <w:r>
              <w:rPr>
                <w:sz w:val="20"/>
              </w:rPr>
              <w:t>Low involvement predicts disengagement and eventual departure</w:t>
            </w:r>
          </w:p>
        </w:tc>
      </w:tr>
      <w:tr>
        <w:tc>
          <w:tcPr>
            <w:tcW w:type="dxa" w:w="2351"/>
          </w:tcPr>
          <w:p>
            <w:r>
              <w:rPr>
                <w:sz w:val="20"/>
              </w:rPr>
              <w:t>15</w:t>
            </w:r>
          </w:p>
        </w:tc>
        <w:tc>
          <w:tcPr>
            <w:tcW w:type="dxa" w:w="2351"/>
          </w:tcPr>
          <w:p>
            <w:r>
              <w:rPr>
                <w:sz w:val="20"/>
              </w:rPr>
              <w:t>WorkLifeBalance</w:t>
            </w:r>
          </w:p>
        </w:tc>
        <w:tc>
          <w:tcPr>
            <w:tcW w:type="dxa" w:w="2351"/>
          </w:tcPr>
          <w:p>
            <w:r>
              <w:rPr>
                <w:sz w:val="20"/>
              </w:rPr>
              <w:t>0.034</w:t>
            </w:r>
          </w:p>
        </w:tc>
        <w:tc>
          <w:tcPr>
            <w:tcW w:type="dxa" w:w="2351"/>
          </w:tcPr>
          <w:p>
            <w:r>
              <w:rPr>
                <w:sz w:val="20"/>
              </w:rPr>
              <w:t>Poor balance (score=1) doubles the attrition rate</w:t>
            </w:r>
          </w:p>
        </w:tc>
      </w:tr>
    </w:tbl>
    <w:p/>
    <w:p>
      <w:pPr>
        <w:pStyle w:val="Heading2"/>
        <w:spacing w:before="200" w:after="80"/>
      </w:pPr>
      <w:r>
        <w:rPr>
          <w:b/>
          <w:color w:val="0F62FE"/>
        </w:rPr>
        <w:t>7.6 Model Comparison — All Three Models</w:t>
      </w:r>
    </w:p>
    <w:p>
      <w:pPr>
        <w:spacing w:after="80"/>
      </w:pPr>
      <w:r>
        <w:rPr>
          <w:b w:val="0"/>
          <w:i w:val="0"/>
          <w:color w:val="1F2328"/>
          <w:sz w:val="22"/>
        </w:rPr>
        <w:t>Three models were trained and evaluated on the same SMOTE-balanced test set to identify the best performer for this classification task.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1141"/>
          </w:tcPr>
          <w:p>
            <w:pPr>
              <w:jc w:val="center"/>
            </w:pPr>
            <w:r>
              <w:rPr>
                <w:b/>
                <w:color w:val="FFFFFF"/>
                <w:sz w:val="20"/>
              </w:rPr>
              <w:t>Model</w:t>
            </w:r>
          </w:p>
        </w:tc>
        <w:tc>
          <w:tcPr>
            <w:tcW w:type="dxa" w:w="2351"/>
            <w:shd w:val="clear" w:color="auto" w:fill="001141"/>
          </w:tcPr>
          <w:p>
            <w:pPr>
              <w:jc w:val="center"/>
            </w:pPr>
            <w:r>
              <w:rPr>
                <w:b/>
                <w:color w:val="FFFFFF"/>
                <w:sz w:val="20"/>
              </w:rPr>
              <w:t>Accuracy</w:t>
            </w:r>
          </w:p>
        </w:tc>
        <w:tc>
          <w:tcPr>
            <w:tcW w:type="dxa" w:w="2351"/>
            <w:shd w:val="clear" w:color="auto" w:fill="001141"/>
          </w:tcPr>
          <w:p>
            <w:pPr>
              <w:jc w:val="center"/>
            </w:pPr>
            <w:r>
              <w:rPr>
                <w:b/>
                <w:color w:val="FFFFFF"/>
                <w:sz w:val="20"/>
              </w:rPr>
              <w:t>ROC-AUC</w:t>
            </w:r>
          </w:p>
        </w:tc>
        <w:tc>
          <w:tcPr>
            <w:tcW w:type="dxa" w:w="2351"/>
            <w:shd w:val="clear" w:color="auto" w:fill="001141"/>
          </w:tcPr>
          <w:p>
            <w:pPr>
              <w:jc w:val="center"/>
            </w:pPr>
            <w:r>
              <w:rPr>
                <w:b/>
                <w:color w:val="FFFFFF"/>
                <w:sz w:val="20"/>
              </w:rPr>
              <w:t>F1</w:t>
            </w:r>
          </w:p>
        </w:tc>
      </w:tr>
      <w:tr>
        <w:tc>
          <w:tcPr>
            <w:tcW w:type="dxa" w:w="2351"/>
          </w:tcPr>
          <w:p>
            <w:pPr>
              <w:jc w:val="center"/>
            </w:pPr>
            <w:r>
              <w:rPr>
                <w:sz w:val="20"/>
              </w:rPr>
              <w:t>Random Forest</w:t>
            </w:r>
          </w:p>
        </w:tc>
        <w:tc>
          <w:tcPr>
            <w:tcW w:type="dxa" w:w="2351"/>
          </w:tcPr>
          <w:p>
            <w:pPr>
              <w:jc w:val="center"/>
            </w:pPr>
            <w:r>
              <w:rPr>
                <w:sz w:val="20"/>
              </w:rPr>
              <w:t>88.06%</w:t>
            </w:r>
          </w:p>
        </w:tc>
        <w:tc>
          <w:tcPr>
            <w:tcW w:type="dxa" w:w="2351"/>
          </w:tcPr>
          <w:p>
            <w:pPr>
              <w:jc w:val="center"/>
            </w:pPr>
            <w:r>
              <w:rPr>
                <w:sz w:val="20"/>
              </w:rPr>
              <w:t>95.33%</w:t>
            </w:r>
          </w:p>
        </w:tc>
        <w:tc>
          <w:tcPr>
            <w:tcW w:type="dxa" w:w="2351"/>
          </w:tcPr>
          <w:p>
            <w:pPr>
              <w:jc w:val="center"/>
            </w:pPr>
            <w:r>
              <w:rPr>
                <w:sz w:val="20"/>
              </w:rPr>
              <w:t>--</w:t>
            </w:r>
          </w:p>
        </w:tc>
      </w:tr>
      <w:tr>
        <w:tc>
          <w:tcPr>
            <w:tcW w:type="dxa" w:w="2351"/>
            <w:shd w:val="clear" w:color="auto" w:fill="e6f4ea"/>
          </w:tcPr>
          <w:p>
            <w:pPr>
              <w:jc w:val="center"/>
            </w:pPr>
            <w:r>
              <w:rPr>
                <w:sz w:val="20"/>
              </w:rPr>
              <w:t>XGBoost</w:t>
            </w:r>
          </w:p>
        </w:tc>
        <w:tc>
          <w:tcPr>
            <w:tcW w:type="dxa" w:w="2351"/>
            <w:shd w:val="clear" w:color="auto" w:fill="e6f4ea"/>
          </w:tcPr>
          <w:p>
            <w:pPr>
              <w:jc w:val="center"/>
            </w:pPr>
            <w:r>
              <w:rPr>
                <w:sz w:val="20"/>
              </w:rPr>
              <w:t>90.08%</w:t>
            </w:r>
          </w:p>
        </w:tc>
        <w:tc>
          <w:tcPr>
            <w:tcW w:type="dxa" w:w="2351"/>
            <w:shd w:val="clear" w:color="auto" w:fill="e6f4ea"/>
          </w:tcPr>
          <w:p>
            <w:pPr>
              <w:jc w:val="center"/>
            </w:pPr>
            <w:r>
              <w:rPr>
                <w:sz w:val="20"/>
              </w:rPr>
              <w:t>96.86%</w:t>
            </w:r>
          </w:p>
        </w:tc>
        <w:tc>
          <w:tcPr>
            <w:tcW w:type="dxa" w:w="2351"/>
            <w:shd w:val="clear" w:color="auto" w:fill="e6f4ea"/>
          </w:tcPr>
          <w:p>
            <w:pPr>
              <w:jc w:val="center"/>
            </w:pPr>
            <w:r>
              <w:rPr>
                <w:sz w:val="20"/>
              </w:rPr>
              <w:t>--</w:t>
            </w:r>
          </w:p>
        </w:tc>
      </w:tr>
      <w:tr>
        <w:tc>
          <w:tcPr>
            <w:tcW w:type="dxa" w:w="2351"/>
          </w:tcPr>
          <w:p>
            <w:pPr>
              <w:jc w:val="center"/>
            </w:pPr>
            <w:r>
              <w:rPr>
                <w:sz w:val="20"/>
              </w:rPr>
              <w:t>Logistic Regression</w:t>
            </w:r>
          </w:p>
        </w:tc>
        <w:tc>
          <w:tcPr>
            <w:tcW w:type="dxa" w:w="2351"/>
          </w:tcPr>
          <w:p>
            <w:pPr>
              <w:jc w:val="center"/>
            </w:pPr>
            <w:r>
              <w:rPr>
                <w:sz w:val="20"/>
              </w:rPr>
              <w:t>--</w:t>
            </w:r>
          </w:p>
        </w:tc>
        <w:tc>
          <w:tcPr>
            <w:tcW w:type="dxa" w:w="2351"/>
          </w:tcPr>
          <w:p>
            <w:pPr>
              <w:jc w:val="center"/>
            </w:pPr>
            <w:r>
              <w:rPr>
                <w:sz w:val="20"/>
              </w:rPr>
              <w:t>80.08%</w:t>
            </w:r>
          </w:p>
        </w:tc>
        <w:tc>
          <w:tcPr>
            <w:tcW w:type="dxa" w:w="2351"/>
          </w:tcPr>
          <w:p>
            <w:pPr>
              <w:jc w:val="center"/>
            </w:pPr>
            <w:r>
              <w:rPr>
                <w:sz w:val="20"/>
              </w:rPr>
              <w:t>--</w:t>
            </w:r>
          </w:p>
        </w:tc>
      </w:tr>
    </w:tbl>
    <w:p/>
    <w:p>
      <w:pPr>
        <w:spacing w:after="80"/>
      </w:pPr>
      <w:r>
        <w:rPr>
          <w:b w:val="0"/>
          <w:i w:val="0"/>
          <w:color w:val="1F2328"/>
          <w:sz w:val="22"/>
        </w:rPr>
        <w:t>Note: XGBoost is the best model overall, while Random Forest was deployed because it offers stronger interpretability for HR decision-making.</w:t>
      </w:r>
    </w:p>
    <w:p/>
    <w:p>
      <w:pPr>
        <w:jc w:val="center"/>
      </w:pPr>
      <w:r>
        <w:drawing>
          <wp:inline xmlns:a="http://schemas.openxmlformats.org/drawingml/2006/main" xmlns:pic="http://schemas.openxmlformats.org/drawingml/2006/picture">
            <wp:extent cx="5486400" cy="2510581"/>
            <wp:docPr id="12" name="Picture 12"/>
            <wp:cNvGraphicFramePr>
              <a:graphicFrameLocks noChangeAspect="1"/>
            </wp:cNvGraphicFramePr>
            <a:graphic>
              <a:graphicData uri="http://schemas.openxmlformats.org/drawingml/2006/picture">
                <pic:pic>
                  <pic:nvPicPr>
                    <pic:cNvPr id="0" name="model_comparison.png"/>
                    <pic:cNvPicPr/>
                  </pic:nvPicPr>
                  <pic:blipFill>
                    <a:blip r:embed="rId18"/>
                    <a:stretch>
                      <a:fillRect/>
                    </a:stretch>
                  </pic:blipFill>
                  <pic:spPr>
                    <a:xfrm>
                      <a:off x="0" y="0"/>
                      <a:ext cx="5486400" cy="2510581"/>
                    </a:xfrm>
                    <a:prstGeom prst="rect"/>
                  </pic:spPr>
                </pic:pic>
              </a:graphicData>
            </a:graphic>
          </wp:inline>
        </w:drawing>
      </w:r>
    </w:p>
    <w:p>
      <w:pPr>
        <w:spacing w:after="200"/>
        <w:jc w:val="center"/>
      </w:pPr>
      <w:r>
        <w:rPr>
          <w:i/>
          <w:color w:val="57606A"/>
          <w:sz w:val="18"/>
        </w:rPr>
        <w:t>Figure: Model Comparison — Random Forest vs Logistic Regression vs XGBoost (all metrics)</w:t>
      </w:r>
    </w:p>
    <w:p>
      <w:r>
        <w:br w:type="page"/>
      </w:r>
    </w:p>
    <w:p>
      <w:pPr>
        <w:pStyle w:val="Heading1"/>
        <w:spacing w:before="320" w:after="120"/>
      </w:pPr>
      <w:r>
        <w:rPr>
          <w:b/>
          <w:color w:val="001141"/>
        </w:rPr>
        <w:t>8. Flask REST API</w:t>
      </w:r>
    </w:p>
    <w:p>
      <w:pPr>
        <w:spacing w:after="80"/>
      </w:pPr>
      <w:r>
        <w:rPr>
          <w:b w:val="0"/>
          <w:i w:val="0"/>
          <w:color w:val="1F2328"/>
          <w:sz w:val="22"/>
        </w:rPr>
        <w:t>A Flask REST API serves the trained model over HTTP on port 5000. It loads model.pkl and the dataset at startup, exposes 10 endpoints, logs every request/response, and returns structured JSON with full error handling.</w:t>
      </w:r>
    </w:p>
    <w:p>
      <w:pPr>
        <w:pStyle w:val="Heading2"/>
        <w:spacing w:before="200" w:after="80"/>
      </w:pPr>
      <w:r>
        <w:rPr>
          <w:b/>
          <w:color w:val="0F62FE"/>
        </w:rPr>
        <w:t>8.1 All Endpoints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62fe"/>
          </w:tcPr>
          <w:p>
            <w:pPr>
              <w:jc w:val="center"/>
            </w:pPr>
            <w:r>
              <w:rPr>
                <w:b/>
                <w:color w:val="FFFFFF"/>
                <w:sz w:val="20"/>
              </w:rPr>
              <w:t>Method</w:t>
            </w:r>
          </w:p>
        </w:tc>
        <w:tc>
          <w:tcPr>
            <w:tcW w:type="dxa" w:w="3135"/>
            <w:shd w:val="clear" w:color="auto" w:fill="0f62fe"/>
          </w:tcPr>
          <w:p>
            <w:pPr>
              <w:jc w:val="center"/>
            </w:pPr>
            <w:r>
              <w:rPr>
                <w:b/>
                <w:color w:val="FFFFFF"/>
                <w:sz w:val="20"/>
              </w:rPr>
              <w:t>Endpoint</w:t>
            </w:r>
          </w:p>
        </w:tc>
        <w:tc>
          <w:tcPr>
            <w:tcW w:type="dxa" w:w="3135"/>
            <w:shd w:val="clear" w:color="auto" w:fill="0f62fe"/>
          </w:tcPr>
          <w:p>
            <w:pPr>
              <w:jc w:val="center"/>
            </w:pPr>
            <w:r>
              <w:rPr>
                <w:b/>
                <w:color w:val="FFFFFF"/>
                <w:sz w:val="20"/>
              </w:rPr>
              <w:t>Description</w:t>
            </w:r>
          </w:p>
        </w:tc>
      </w:tr>
      <w:tr>
        <w:tc>
          <w:tcPr>
            <w:tcW w:type="dxa" w:w="3135"/>
          </w:tcPr>
          <w:p>
            <w:r>
              <w:rPr>
                <w:sz w:val="20"/>
              </w:rPr>
              <w:t>GET</w:t>
            </w:r>
          </w:p>
        </w:tc>
        <w:tc>
          <w:tcPr>
            <w:tcW w:type="dxa" w:w="3135"/>
          </w:tcPr>
          <w:p>
            <w:r>
              <w:rPr>
                <w:sz w:val="20"/>
              </w:rPr>
              <w:t>/</w:t>
            </w:r>
          </w:p>
        </w:tc>
        <w:tc>
          <w:tcPr>
            <w:tcW w:type="dxa" w:w="3135"/>
          </w:tcPr>
          <w:p>
            <w:r>
              <w:rPr>
                <w:sz w:val="20"/>
              </w:rPr>
              <w:t>Service status, author, model &amp; dataset loaded flags, endpoint list</w:t>
            </w:r>
          </w:p>
        </w:tc>
      </w:tr>
      <w:tr>
        <w:tc>
          <w:tcPr>
            <w:tcW w:type="dxa" w:w="3135"/>
          </w:tcPr>
          <w:p>
            <w:r>
              <w:rPr>
                <w:sz w:val="20"/>
              </w:rPr>
              <w:t>GET</w:t>
            </w:r>
          </w:p>
        </w:tc>
        <w:tc>
          <w:tcPr>
            <w:tcW w:type="dxa" w:w="3135"/>
          </w:tcPr>
          <w:p>
            <w:r>
              <w:rPr>
                <w:sz w:val="20"/>
              </w:rPr>
              <w:t>/health</w:t>
            </w:r>
          </w:p>
        </w:tc>
        <w:tc>
          <w:tcPr>
            <w:tcW w:type="dxa" w:w="3135"/>
          </w:tcPr>
          <w:p>
            <w:r>
              <w:rPr>
                <w:sz w:val="20"/>
              </w:rPr>
              <w:t>Timestamp, startup time, model/dataset status — health check</w:t>
            </w:r>
          </w:p>
        </w:tc>
      </w:tr>
      <w:tr>
        <w:tc>
          <w:tcPr>
            <w:tcW w:type="dxa" w:w="3135"/>
          </w:tcPr>
          <w:p>
            <w:r>
              <w:rPr>
                <w:sz w:val="20"/>
              </w:rPr>
              <w:t>GET</w:t>
            </w:r>
          </w:p>
        </w:tc>
        <w:tc>
          <w:tcPr>
            <w:tcW w:type="dxa" w:w="3135"/>
          </w:tcPr>
          <w:p>
            <w:r>
              <w:rPr>
                <w:sz w:val="20"/>
              </w:rPr>
              <w:t>/model-info</w:t>
            </w:r>
          </w:p>
        </w:tc>
        <w:tc>
          <w:tcPr>
            <w:tcW w:type="dxa" w:w="3135"/>
          </w:tcPr>
          <w:p>
            <w:r>
              <w:rPr>
                <w:sz w:val="20"/>
              </w:rPr>
              <w:t>Model type, hyperparams, accuracy, ROC-AUC, full classification report</w:t>
            </w:r>
          </w:p>
        </w:tc>
      </w:tr>
      <w:tr>
        <w:tc>
          <w:tcPr>
            <w:tcW w:type="dxa" w:w="3135"/>
          </w:tcPr>
          <w:p>
            <w:r>
              <w:rPr>
                <w:sz w:val="20"/>
              </w:rPr>
              <w:t>GET</w:t>
            </w:r>
          </w:p>
        </w:tc>
        <w:tc>
          <w:tcPr>
            <w:tcW w:type="dxa" w:w="3135"/>
          </w:tcPr>
          <w:p>
            <w:r>
              <w:rPr>
                <w:sz w:val="20"/>
              </w:rPr>
              <w:t>/dataset-info</w:t>
            </w:r>
          </w:p>
        </w:tc>
        <w:tc>
          <w:tcPr>
            <w:tcW w:type="dxa" w:w="3135"/>
          </w:tcPr>
          <w:p>
            <w:r>
              <w:rPr>
                <w:sz w:val="20"/>
              </w:rPr>
              <w:t>Row/feature counts, attrition rate, age &amp; income statistics</w:t>
            </w:r>
          </w:p>
        </w:tc>
      </w:tr>
      <w:tr>
        <w:tc>
          <w:tcPr>
            <w:tcW w:type="dxa" w:w="3135"/>
          </w:tcPr>
          <w:p>
            <w:r>
              <w:rPr>
                <w:sz w:val="20"/>
              </w:rPr>
              <w:t>POST</w:t>
            </w:r>
          </w:p>
        </w:tc>
        <w:tc>
          <w:tcPr>
            <w:tcW w:type="dxa" w:w="3135"/>
          </w:tcPr>
          <w:p>
            <w:r>
              <w:rPr>
                <w:sz w:val="20"/>
              </w:rPr>
              <w:t>/predict</w:t>
            </w:r>
          </w:p>
        </w:tc>
        <w:tc>
          <w:tcPr>
            <w:tcW w:type="dxa" w:w="3135"/>
          </w:tcPr>
          <w:p>
            <w:r>
              <w:rPr>
                <w:sz w:val="20"/>
              </w:rPr>
              <w:t>Single employee prediction — returns High/Low Risk + probability</w:t>
            </w:r>
          </w:p>
        </w:tc>
      </w:tr>
      <w:tr>
        <w:tc>
          <w:tcPr>
            <w:tcW w:type="dxa" w:w="3135"/>
          </w:tcPr>
          <w:p>
            <w:r>
              <w:rPr>
                <w:sz w:val="20"/>
              </w:rPr>
              <w:t>POST</w:t>
            </w:r>
          </w:p>
        </w:tc>
        <w:tc>
          <w:tcPr>
            <w:tcW w:type="dxa" w:w="3135"/>
          </w:tcPr>
          <w:p>
            <w:r>
              <w:rPr>
                <w:sz w:val="20"/>
              </w:rPr>
              <w:t>/batch-predict</w:t>
            </w:r>
          </w:p>
        </w:tc>
        <w:tc>
          <w:tcPr>
            <w:tcW w:type="dxa" w:w="3135"/>
          </w:tcPr>
          <w:p>
            <w:r>
              <w:rPr>
                <w:sz w:val="20"/>
              </w:rPr>
              <w:t>Batch predictions for up to 100 employees — returns all results + summary</w:t>
            </w:r>
          </w:p>
        </w:tc>
      </w:tr>
      <w:tr>
        <w:tc>
          <w:tcPr>
            <w:tcW w:type="dxa" w:w="3135"/>
          </w:tcPr>
          <w:p>
            <w:r>
              <w:rPr>
                <w:sz w:val="20"/>
              </w:rPr>
              <w:t>GET</w:t>
            </w:r>
          </w:p>
        </w:tc>
        <w:tc>
          <w:tcPr>
            <w:tcW w:type="dxa" w:w="3135"/>
          </w:tcPr>
          <w:p>
            <w:r>
              <w:rPr>
                <w:sz w:val="20"/>
              </w:rPr>
              <w:t>/sample-predictions</w:t>
            </w:r>
          </w:p>
        </w:tc>
        <w:tc>
          <w:tcPr>
            <w:tcW w:type="dxa" w:w="3135"/>
          </w:tcPr>
          <w:p>
            <w:r>
              <w:rPr>
                <w:sz w:val="20"/>
              </w:rPr>
              <w:t>Predictions for first 5 dataset employees with actual vs predicted</w:t>
            </w:r>
          </w:p>
        </w:tc>
      </w:tr>
      <w:tr>
        <w:tc>
          <w:tcPr>
            <w:tcW w:type="dxa" w:w="3135"/>
          </w:tcPr>
          <w:p>
            <w:r>
              <w:rPr>
                <w:sz w:val="20"/>
              </w:rPr>
              <w:t>GET</w:t>
            </w:r>
          </w:p>
        </w:tc>
        <w:tc>
          <w:tcPr>
            <w:tcW w:type="dxa" w:w="3135"/>
          </w:tcPr>
          <w:p>
            <w:r>
              <w:rPr>
                <w:sz w:val="20"/>
              </w:rPr>
              <w:t>/insights</w:t>
            </w:r>
          </w:p>
        </w:tc>
        <w:tc>
          <w:tcPr>
            <w:tcW w:type="dxa" w:w="3135"/>
          </w:tcPr>
          <w:p>
            <w:r>
              <w:rPr>
                <w:sz w:val="20"/>
              </w:rPr>
              <w:t>5 data-driven insights computed live from the dataset</w:t>
            </w:r>
          </w:p>
        </w:tc>
      </w:tr>
      <w:tr>
        <w:tc>
          <w:tcPr>
            <w:tcW w:type="dxa" w:w="3135"/>
          </w:tcPr>
          <w:p>
            <w:r>
              <w:rPr>
                <w:sz w:val="20"/>
              </w:rPr>
              <w:t>GET</w:t>
            </w:r>
          </w:p>
        </w:tc>
        <w:tc>
          <w:tcPr>
            <w:tcW w:type="dxa" w:w="3135"/>
          </w:tcPr>
          <w:p>
            <w:r>
              <w:rPr>
                <w:sz w:val="20"/>
              </w:rPr>
              <w:t>/department-stats</w:t>
            </w:r>
          </w:p>
        </w:tc>
        <w:tc>
          <w:tcPr>
            <w:tcW w:type="dxa" w:w="3135"/>
          </w:tcPr>
          <w:p>
            <w:r>
              <w:rPr>
                <w:sz w:val="20"/>
              </w:rPr>
              <w:t>Attrition rate, income, age, overtime % per department</w:t>
            </w:r>
          </w:p>
        </w:tc>
      </w:tr>
      <w:tr>
        <w:tc>
          <w:tcPr>
            <w:tcW w:type="dxa" w:w="3135"/>
          </w:tcPr>
          <w:p>
            <w:r>
              <w:rPr>
                <w:sz w:val="20"/>
              </w:rPr>
              <w:t>GET</w:t>
            </w:r>
          </w:p>
        </w:tc>
        <w:tc>
          <w:tcPr>
            <w:tcW w:type="dxa" w:w="3135"/>
          </w:tcPr>
          <w:p>
            <w:r>
              <w:rPr>
                <w:sz w:val="20"/>
              </w:rPr>
              <w:t>/risk-factors</w:t>
            </w:r>
          </w:p>
        </w:tc>
        <w:tc>
          <w:tcPr>
            <w:tcW w:type="dxa" w:w="3135"/>
          </w:tcPr>
          <w:p>
            <w:r>
              <w:rPr>
                <w:sz w:val="20"/>
              </w:rPr>
              <w:t>Top 10 attrition risk factors from model feature importances</w:t>
            </w:r>
          </w:p>
        </w:tc>
      </w:tr>
    </w:tbl>
    <w:p/>
    <w:p>
      <w:pPr>
        <w:pStyle w:val="Heading2"/>
        <w:spacing w:before="200" w:after="80"/>
      </w:pPr>
      <w:r>
        <w:rPr>
          <w:b/>
          <w:color w:val="0F62FE"/>
        </w:rPr>
        <w:t>8.2 Sample JSON — POST /predict</w:t>
      </w:r>
    </w:p>
    <w:p>
      <w:pPr>
        <w:spacing w:after="80"/>
      </w:pPr>
      <w:r>
        <w:rPr>
          <w:b w:val="0"/>
          <w:i w:val="0"/>
          <w:color w:val="1F2328"/>
          <w:sz w:val="22"/>
        </w:rPr>
        <w:t>Request body:</w:t>
      </w:r>
    </w:p>
    <w:p>
      <w:r>
        <w:rPr>
          <w:rFonts w:ascii="Courier New" w:hAnsi="Courier New"/>
          <w:color w:val="001141"/>
          <w:sz w:val="18"/>
        </w:rPr>
        <w:t>{"Age": 28, "MonthlyIncome": 2500, "OverTime": 1, "JobSatisfaction": 2, "YearsAtCompany": 1}</w:t>
      </w:r>
    </w:p>
    <w:p>
      <w:pPr>
        <w:spacing w:after="80"/>
      </w:pPr>
      <w:r>
        <w:rPr>
          <w:b w:val="0"/>
          <w:i w:val="0"/>
          <w:color w:val="1F2328"/>
          <w:sz w:val="22"/>
        </w:rPr>
        <w:t>Response:</w:t>
      </w:r>
    </w:p>
    <w:p>
      <w:r>
        <w:rPr>
          <w:rFonts w:ascii="Courier New" w:hAnsi="Courier New"/>
          <w:color w:val="001141"/>
          <w:sz w:val="18"/>
        </w:rPr>
        <w:t>{</w:t>
        <w:br/>
        <w:t xml:space="preserve">  "prediction": "Low Risk",</w:t>
        <w:br/>
        <w:t xml:space="preserve">  "attrition_probability": 0.2902,</w:t>
        <w:br/>
        <w:t xml:space="preserve">  "confidence_%": 70.98,</w:t>
        <w:br/>
        <w:t xml:space="preserve">  "risk_level": "LOW"</w:t>
        <w:br/>
        <w:t>}</w:t>
      </w:r>
    </w:p>
    <w:p>
      <w:pPr>
        <w:pStyle w:val="Heading2"/>
        <w:spacing w:before="200" w:after="80"/>
      </w:pPr>
      <w:r>
        <w:rPr>
          <w:b/>
          <w:color w:val="0F62FE"/>
        </w:rPr>
        <w:t>8.3 API Screenshot Evidence</w:t>
      </w:r>
    </w:p>
    <w:p>
      <w:pPr>
        <w:jc w:val="center"/>
      </w:pPr>
      <w:r>
        <w:drawing>
          <wp:inline xmlns:a="http://schemas.openxmlformats.org/drawingml/2006/main" xmlns:pic="http://schemas.openxmlformats.org/drawingml/2006/picture">
            <wp:extent cx="5303520" cy="3629749"/>
            <wp:docPr id="13" name="Picture 13"/>
            <wp:cNvGraphicFramePr>
              <a:graphicFrameLocks noChangeAspect="1"/>
            </wp:cNvGraphicFramePr>
            <a:graphic>
              <a:graphicData uri="http://schemas.openxmlformats.org/drawingml/2006/picture">
                <pic:pic>
                  <pic:nvPicPr>
                    <pic:cNvPr id="0" name="api_r1_status.png"/>
                    <pic:cNvPicPr/>
                  </pic:nvPicPr>
                  <pic:blipFill>
                    <a:blip r:embed="rId19"/>
                    <a:stretch>
                      <a:fillRect/>
                    </a:stretch>
                  </pic:blipFill>
                  <pic:spPr>
                    <a:xfrm>
                      <a:off x="0" y="0"/>
                      <a:ext cx="5303520" cy="3629749"/>
                    </a:xfrm>
                    <a:prstGeom prst="rect"/>
                  </pic:spPr>
                </pic:pic>
              </a:graphicData>
            </a:graphic>
          </wp:inline>
        </w:drawing>
      </w:r>
    </w:p>
    <w:p>
      <w:pPr>
        <w:spacing w:after="200"/>
        <w:jc w:val="center"/>
      </w:pPr>
      <w:r>
        <w:rPr>
          <w:i/>
          <w:color w:val="57606A"/>
          <w:sz w:val="18"/>
        </w:rPr>
        <w:t>Figure: GET /  — Service Status</w:t>
      </w:r>
    </w:p>
    <w:p>
      <w:pPr>
        <w:jc w:val="center"/>
      </w:pPr>
      <w:r>
        <w:drawing>
          <wp:inline xmlns:a="http://schemas.openxmlformats.org/drawingml/2006/main" xmlns:pic="http://schemas.openxmlformats.org/drawingml/2006/picture">
            <wp:extent cx="5303520" cy="2196014"/>
            <wp:docPr id="14" name="Picture 14"/>
            <wp:cNvGraphicFramePr>
              <a:graphicFrameLocks noChangeAspect="1"/>
            </wp:cNvGraphicFramePr>
            <a:graphic>
              <a:graphicData uri="http://schemas.openxmlformats.org/drawingml/2006/picture">
                <pic:pic>
                  <pic:nvPicPr>
                    <pic:cNvPr id="0" name="api_r2_health.png"/>
                    <pic:cNvPicPr/>
                  </pic:nvPicPr>
                  <pic:blipFill>
                    <a:blip r:embed="rId20"/>
                    <a:stretch>
                      <a:fillRect/>
                    </a:stretch>
                  </pic:blipFill>
                  <pic:spPr>
                    <a:xfrm>
                      <a:off x="0" y="0"/>
                      <a:ext cx="5303520" cy="2196014"/>
                    </a:xfrm>
                    <a:prstGeom prst="rect"/>
                  </pic:spPr>
                </pic:pic>
              </a:graphicData>
            </a:graphic>
          </wp:inline>
        </w:drawing>
      </w:r>
    </w:p>
    <w:p>
      <w:pPr>
        <w:spacing w:after="200"/>
        <w:jc w:val="center"/>
      </w:pPr>
      <w:r>
        <w:rPr>
          <w:i/>
          <w:color w:val="57606A"/>
          <w:sz w:val="18"/>
        </w:rPr>
        <w:t>Figure: GET /health  — Health Check</w:t>
      </w:r>
    </w:p>
    <w:p>
      <w:pPr>
        <w:jc w:val="center"/>
      </w:pPr>
      <w:r>
        <w:drawing>
          <wp:inline xmlns:a="http://schemas.openxmlformats.org/drawingml/2006/main" xmlns:pic="http://schemas.openxmlformats.org/drawingml/2006/picture">
            <wp:extent cx="5303520" cy="5060239"/>
            <wp:docPr id="15" name="Picture 15"/>
            <wp:cNvGraphicFramePr>
              <a:graphicFrameLocks noChangeAspect="1"/>
            </wp:cNvGraphicFramePr>
            <a:graphic>
              <a:graphicData uri="http://schemas.openxmlformats.org/drawingml/2006/picture">
                <pic:pic>
                  <pic:nvPicPr>
                    <pic:cNvPr id="0" name="api_r3_dataset_info.png"/>
                    <pic:cNvPicPr/>
                  </pic:nvPicPr>
                  <pic:blipFill>
                    <a:blip r:embed="rId21"/>
                    <a:stretch>
                      <a:fillRect/>
                    </a:stretch>
                  </pic:blipFill>
                  <pic:spPr>
                    <a:xfrm>
                      <a:off x="0" y="0"/>
                      <a:ext cx="5303520" cy="5060239"/>
                    </a:xfrm>
                    <a:prstGeom prst="rect"/>
                  </pic:spPr>
                </pic:pic>
              </a:graphicData>
            </a:graphic>
          </wp:inline>
        </w:drawing>
      </w:r>
    </w:p>
    <w:p>
      <w:pPr>
        <w:spacing w:after="200"/>
        <w:jc w:val="center"/>
      </w:pPr>
      <w:r>
        <w:rPr>
          <w:i/>
          <w:color w:val="57606A"/>
          <w:sz w:val="18"/>
        </w:rPr>
        <w:t>Figure: GET /dataset-info  — Dataset Statistics</w:t>
      </w:r>
    </w:p>
    <w:p>
      <w:pPr>
        <w:jc w:val="center"/>
      </w:pPr>
      <w:r>
        <w:drawing>
          <wp:inline xmlns:a="http://schemas.openxmlformats.org/drawingml/2006/main" xmlns:pic="http://schemas.openxmlformats.org/drawingml/2006/picture">
            <wp:extent cx="5303520" cy="2189527"/>
            <wp:docPr id="16" name="Picture 16"/>
            <wp:cNvGraphicFramePr>
              <a:graphicFrameLocks noChangeAspect="1"/>
            </wp:cNvGraphicFramePr>
            <a:graphic>
              <a:graphicData uri="http://schemas.openxmlformats.org/drawingml/2006/picture">
                <pic:pic>
                  <pic:nvPicPr>
                    <pic:cNvPr id="0" name="api_r4_model_info.png"/>
                    <pic:cNvPicPr/>
                  </pic:nvPicPr>
                  <pic:blipFill>
                    <a:blip r:embed="rId22"/>
                    <a:stretch>
                      <a:fillRect/>
                    </a:stretch>
                  </pic:blipFill>
                  <pic:spPr>
                    <a:xfrm>
                      <a:off x="0" y="0"/>
                      <a:ext cx="5303520" cy="2189527"/>
                    </a:xfrm>
                    <a:prstGeom prst="rect"/>
                  </pic:spPr>
                </pic:pic>
              </a:graphicData>
            </a:graphic>
          </wp:inline>
        </w:drawing>
      </w:r>
    </w:p>
    <w:p>
      <w:pPr>
        <w:spacing w:after="200"/>
        <w:jc w:val="center"/>
      </w:pPr>
      <w:r>
        <w:rPr>
          <w:i/>
          <w:color w:val="57606A"/>
          <w:sz w:val="18"/>
        </w:rPr>
        <w:t>Figure: GET /model-info  — Model Metrics</w:t>
      </w:r>
    </w:p>
    <w:p>
      <w:pPr>
        <w:jc w:val="center"/>
      </w:pPr>
      <w:r>
        <w:drawing>
          <wp:inline xmlns:a="http://schemas.openxmlformats.org/drawingml/2006/main" xmlns:pic="http://schemas.openxmlformats.org/drawingml/2006/picture">
            <wp:extent cx="5303520" cy="5060239"/>
            <wp:docPr id="17" name="Picture 17"/>
            <wp:cNvGraphicFramePr>
              <a:graphicFrameLocks noChangeAspect="1"/>
            </wp:cNvGraphicFramePr>
            <a:graphic>
              <a:graphicData uri="http://schemas.openxmlformats.org/drawingml/2006/picture">
                <pic:pic>
                  <pic:nvPicPr>
                    <pic:cNvPr id="0" name="api_r5_predict.png"/>
                    <pic:cNvPicPr/>
                  </pic:nvPicPr>
                  <pic:blipFill>
                    <a:blip r:embed="rId23"/>
                    <a:stretch>
                      <a:fillRect/>
                    </a:stretch>
                  </pic:blipFill>
                  <pic:spPr>
                    <a:xfrm>
                      <a:off x="0" y="0"/>
                      <a:ext cx="5303520" cy="5060239"/>
                    </a:xfrm>
                    <a:prstGeom prst="rect"/>
                  </pic:spPr>
                </pic:pic>
              </a:graphicData>
            </a:graphic>
          </wp:inline>
        </w:drawing>
      </w:r>
    </w:p>
    <w:p>
      <w:pPr>
        <w:spacing w:after="200"/>
        <w:jc w:val="center"/>
      </w:pPr>
      <w:r>
        <w:rPr>
          <w:i/>
          <w:color w:val="57606A"/>
          <w:sz w:val="18"/>
        </w:rPr>
        <w:t>Figure: POST /predict  — Single Prediction</w:t>
      </w:r>
    </w:p>
    <w:p>
      <w:pPr>
        <w:jc w:val="center"/>
      </w:pPr>
      <w:r>
        <w:drawing>
          <wp:inline xmlns:a="http://schemas.openxmlformats.org/drawingml/2006/main" xmlns:pic="http://schemas.openxmlformats.org/drawingml/2006/picture">
            <wp:extent cx="5303520" cy="2189527"/>
            <wp:docPr id="18" name="Picture 18"/>
            <wp:cNvGraphicFramePr>
              <a:graphicFrameLocks noChangeAspect="1"/>
            </wp:cNvGraphicFramePr>
            <a:graphic>
              <a:graphicData uri="http://schemas.openxmlformats.org/drawingml/2006/picture">
                <pic:pic>
                  <pic:nvPicPr>
                    <pic:cNvPr id="0" name="api_r6_batch_predict.png"/>
                    <pic:cNvPicPr/>
                  </pic:nvPicPr>
                  <pic:blipFill>
                    <a:blip r:embed="rId24"/>
                    <a:stretch>
                      <a:fillRect/>
                    </a:stretch>
                  </pic:blipFill>
                  <pic:spPr>
                    <a:xfrm>
                      <a:off x="0" y="0"/>
                      <a:ext cx="5303520" cy="2189527"/>
                    </a:xfrm>
                    <a:prstGeom prst="rect"/>
                  </pic:spPr>
                </pic:pic>
              </a:graphicData>
            </a:graphic>
          </wp:inline>
        </w:drawing>
      </w:r>
    </w:p>
    <w:p>
      <w:pPr>
        <w:spacing w:after="200"/>
        <w:jc w:val="center"/>
      </w:pPr>
      <w:r>
        <w:rPr>
          <w:i/>
          <w:color w:val="57606A"/>
          <w:sz w:val="18"/>
        </w:rPr>
        <w:t>Figure: POST /batch-predict  — Batch Summary</w:t>
      </w:r>
    </w:p>
    <w:p>
      <w:pPr>
        <w:jc w:val="center"/>
      </w:pPr>
      <w:r>
        <w:drawing>
          <wp:inline xmlns:a="http://schemas.openxmlformats.org/drawingml/2006/main" xmlns:pic="http://schemas.openxmlformats.org/drawingml/2006/picture">
            <wp:extent cx="5303520" cy="5060239"/>
            <wp:docPr id="19" name="Picture 19"/>
            <wp:cNvGraphicFramePr>
              <a:graphicFrameLocks noChangeAspect="1"/>
            </wp:cNvGraphicFramePr>
            <a:graphic>
              <a:graphicData uri="http://schemas.openxmlformats.org/drawingml/2006/picture">
                <pic:pic>
                  <pic:nvPicPr>
                    <pic:cNvPr id="0" name="api_r7_sample_preds.png"/>
                    <pic:cNvPicPr/>
                  </pic:nvPicPr>
                  <pic:blipFill>
                    <a:blip r:embed="rId25"/>
                    <a:stretch>
                      <a:fillRect/>
                    </a:stretch>
                  </pic:blipFill>
                  <pic:spPr>
                    <a:xfrm>
                      <a:off x="0" y="0"/>
                      <a:ext cx="5303520" cy="5060239"/>
                    </a:xfrm>
                    <a:prstGeom prst="rect"/>
                  </pic:spPr>
                </pic:pic>
              </a:graphicData>
            </a:graphic>
          </wp:inline>
        </w:drawing>
      </w:r>
    </w:p>
    <w:p>
      <w:pPr>
        <w:spacing w:after="200"/>
        <w:jc w:val="center"/>
      </w:pPr>
      <w:r>
        <w:rPr>
          <w:i/>
          <w:color w:val="57606A"/>
          <w:sz w:val="18"/>
        </w:rPr>
        <w:t>Figure: GET /sample-predictions</w:t>
      </w:r>
    </w:p>
    <w:p>
      <w:pPr>
        <w:jc w:val="center"/>
      </w:pPr>
      <w:r>
        <w:drawing>
          <wp:inline xmlns:a="http://schemas.openxmlformats.org/drawingml/2006/main" xmlns:pic="http://schemas.openxmlformats.org/drawingml/2006/picture">
            <wp:extent cx="5303520" cy="5060239"/>
            <wp:docPr id="20" name="Picture 20"/>
            <wp:cNvGraphicFramePr>
              <a:graphicFrameLocks noChangeAspect="1"/>
            </wp:cNvGraphicFramePr>
            <a:graphic>
              <a:graphicData uri="http://schemas.openxmlformats.org/drawingml/2006/picture">
                <pic:pic>
                  <pic:nvPicPr>
                    <pic:cNvPr id="0" name="api_r8_insights.png"/>
                    <pic:cNvPicPr/>
                  </pic:nvPicPr>
                  <pic:blipFill>
                    <a:blip r:embed="rId26"/>
                    <a:stretch>
                      <a:fillRect/>
                    </a:stretch>
                  </pic:blipFill>
                  <pic:spPr>
                    <a:xfrm>
                      <a:off x="0" y="0"/>
                      <a:ext cx="5303520" cy="5060239"/>
                    </a:xfrm>
                    <a:prstGeom prst="rect"/>
                  </pic:spPr>
                </pic:pic>
              </a:graphicData>
            </a:graphic>
          </wp:inline>
        </w:drawing>
      </w:r>
    </w:p>
    <w:p>
      <w:pPr>
        <w:spacing w:after="200"/>
        <w:jc w:val="center"/>
      </w:pPr>
      <w:r>
        <w:rPr>
          <w:i/>
          <w:color w:val="57606A"/>
          <w:sz w:val="18"/>
        </w:rPr>
        <w:t>Figure: GET /insights  — Dataset Insights</w:t>
      </w:r>
    </w:p>
    <w:p>
      <w:pPr>
        <w:jc w:val="center"/>
      </w:pPr>
      <w:r>
        <w:drawing>
          <wp:inline xmlns:a="http://schemas.openxmlformats.org/drawingml/2006/main" xmlns:pic="http://schemas.openxmlformats.org/drawingml/2006/picture">
            <wp:extent cx="5303520" cy="5060239"/>
            <wp:docPr id="21" name="Picture 21"/>
            <wp:cNvGraphicFramePr>
              <a:graphicFrameLocks noChangeAspect="1"/>
            </wp:cNvGraphicFramePr>
            <a:graphic>
              <a:graphicData uri="http://schemas.openxmlformats.org/drawingml/2006/picture">
                <pic:pic>
                  <pic:nvPicPr>
                    <pic:cNvPr id="0" name="api_r9_dept_stats.png"/>
                    <pic:cNvPicPr/>
                  </pic:nvPicPr>
                  <pic:blipFill>
                    <a:blip r:embed="rId27"/>
                    <a:stretch>
                      <a:fillRect/>
                    </a:stretch>
                  </pic:blipFill>
                  <pic:spPr>
                    <a:xfrm>
                      <a:off x="0" y="0"/>
                      <a:ext cx="5303520" cy="5060239"/>
                    </a:xfrm>
                    <a:prstGeom prst="rect"/>
                  </pic:spPr>
                </pic:pic>
              </a:graphicData>
            </a:graphic>
          </wp:inline>
        </w:drawing>
      </w:r>
    </w:p>
    <w:p>
      <w:pPr>
        <w:spacing w:after="200"/>
        <w:jc w:val="center"/>
      </w:pPr>
      <w:r>
        <w:rPr>
          <w:i/>
          <w:color w:val="57606A"/>
          <w:sz w:val="18"/>
        </w:rPr>
        <w:t>Figure: GET /department-stats</w:t>
      </w:r>
    </w:p>
    <w:p>
      <w:pPr>
        <w:jc w:val="center"/>
      </w:pPr>
      <w:r>
        <w:drawing>
          <wp:inline xmlns:a="http://schemas.openxmlformats.org/drawingml/2006/main" xmlns:pic="http://schemas.openxmlformats.org/drawingml/2006/picture">
            <wp:extent cx="5303520" cy="5060239"/>
            <wp:docPr id="22" name="Picture 22"/>
            <wp:cNvGraphicFramePr>
              <a:graphicFrameLocks noChangeAspect="1"/>
            </wp:cNvGraphicFramePr>
            <a:graphic>
              <a:graphicData uri="http://schemas.openxmlformats.org/drawingml/2006/picture">
                <pic:pic>
                  <pic:nvPicPr>
                    <pic:cNvPr id="0" name="api_r10_risk_factors.png"/>
                    <pic:cNvPicPr/>
                  </pic:nvPicPr>
                  <pic:blipFill>
                    <a:blip r:embed="rId28"/>
                    <a:stretch>
                      <a:fillRect/>
                    </a:stretch>
                  </pic:blipFill>
                  <pic:spPr>
                    <a:xfrm>
                      <a:off x="0" y="0"/>
                      <a:ext cx="5303520" cy="5060239"/>
                    </a:xfrm>
                    <a:prstGeom prst="rect"/>
                  </pic:spPr>
                </pic:pic>
              </a:graphicData>
            </a:graphic>
          </wp:inline>
        </w:drawing>
      </w:r>
    </w:p>
    <w:p>
      <w:pPr>
        <w:spacing w:after="200"/>
        <w:jc w:val="center"/>
      </w:pPr>
      <w:r>
        <w:rPr>
          <w:i/>
          <w:color w:val="57606A"/>
          <w:sz w:val="18"/>
        </w:rPr>
        <w:t>Figure: GET /risk-factors  — Top 10 Attrition Causes</w:t>
      </w:r>
    </w:p>
    <w:p>
      <w:r>
        <w:br w:type="page"/>
      </w:r>
    </w:p>
    <w:p>
      <w:pPr>
        <w:pStyle w:val="Heading1"/>
        <w:spacing w:before="320" w:after="120"/>
      </w:pPr>
      <w:r>
        <w:rPr>
          <w:b/>
          <w:color w:val="001141"/>
        </w:rPr>
        <w:t>9. Streamlit Dashboard</w:t>
      </w:r>
    </w:p>
    <w:p>
      <w:pPr>
        <w:spacing w:after="80"/>
      </w:pPr>
      <w:r>
        <w:rPr>
          <w:b w:val="0"/>
          <w:i w:val="0"/>
          <w:color w:val="1F2328"/>
          <w:sz w:val="22"/>
        </w:rPr>
        <w:t>A Streamlit dashboard provides an IBM blue/dark-themed interactive frontend. It communicates with the Flask API in real time and features 6 navigation pages in total: Home, EDA, Predict Risk, Model Performance, Employee Risk Table, and About. The Home page also includes two CSV download buttons for all employees and the high-risk subset.</w:t>
      </w:r>
    </w:p>
    <w:p>
      <w:pPr>
        <w:pStyle w:val="Heading2"/>
        <w:spacing w:before="200" w:after="80"/>
      </w:pPr>
      <w:r>
        <w:rPr>
          <w:b/>
          <w:color w:val="0F62FE"/>
        </w:rPr>
        <w:t>9.6 About Page</w:t>
      </w:r>
    </w:p>
    <w:p>
      <w:pPr>
        <w:spacing w:after="80"/>
      </w:pPr>
      <w:r>
        <w:rPr>
          <w:b w:val="0"/>
          <w:i w:val="0"/>
          <w:color w:val="1F2328"/>
          <w:sz w:val="22"/>
        </w:rPr>
        <w:t>The About page gives a concise project profile for the user, including the student name, internship details, project title, dataset links, technology stack, model performance summary, and contact email. It uses an IBM blue-and-white theme to keep the branding consistent with the rest of the dashboard.</w:t>
      </w:r>
    </w:p>
    <w:p>
      <w:pPr>
        <w:spacing w:after="80"/>
      </w:pPr>
      <w:r>
        <w:rPr>
          <w:b w:val="0"/>
          <w:i w:val="0"/>
          <w:color w:val="1F2328"/>
          <w:sz w:val="22"/>
        </w:rPr>
        <w:t>A dedicated screenshot for the About page was not stored in the repository at the time of export, but the section is included in the application sidebar and matches the requested project summary layout.</w:t>
      </w:r>
    </w:p>
    <w:p>
      <w:pPr>
        <w:pStyle w:val="Heading2"/>
        <w:spacing w:before="200" w:after="80"/>
      </w:pPr>
      <w:r>
        <w:rPr>
          <w:b/>
          <w:color w:val="0F62FE"/>
        </w:rPr>
        <w:t>Figure 9.1: Home Page KPI Cards</w:t>
      </w:r>
    </w:p>
    <w:p>
      <w:pPr>
        <w:jc w:val="center"/>
      </w:pPr>
      <w:r>
        <w:drawing>
          <wp:inline xmlns:a="http://schemas.openxmlformats.org/drawingml/2006/main" xmlns:pic="http://schemas.openxmlformats.org/drawingml/2006/picture">
            <wp:extent cx="5486400" cy="3327741"/>
            <wp:docPr id="23" name="Picture 23"/>
            <wp:cNvGraphicFramePr>
              <a:graphicFrameLocks noChangeAspect="1"/>
            </wp:cNvGraphicFramePr>
            <a:graphic>
              <a:graphicData uri="http://schemas.openxmlformats.org/drawingml/2006/picture">
                <pic:pic>
                  <pic:nvPicPr>
                    <pic:cNvPr id="0" name="streamlit_home.png"/>
                    <pic:cNvPicPr/>
                  </pic:nvPicPr>
                  <pic:blipFill>
                    <a:blip r:embed="rId29"/>
                    <a:stretch>
                      <a:fillRect/>
                    </a:stretch>
                  </pic:blipFill>
                  <pic:spPr>
                    <a:xfrm>
                      <a:off x="0" y="0"/>
                      <a:ext cx="5486400" cy="3327741"/>
                    </a:xfrm>
                    <a:prstGeom prst="rect"/>
                  </pic:spPr>
                </pic:pic>
              </a:graphicData>
            </a:graphic>
          </wp:inline>
        </w:drawing>
      </w:r>
    </w:p>
    <w:p>
      <w:pPr>
        <w:spacing w:after="200"/>
        <w:jc w:val="center"/>
      </w:pPr>
      <w:r>
        <w:rPr>
          <w:i/>
          <w:color w:val="57606A"/>
          <w:sz w:val="18"/>
        </w:rPr>
        <w:t>Figure: Figure 9.1: Home Page KPI Cards</w:t>
      </w:r>
    </w:p>
    <w:p>
      <w:pPr>
        <w:spacing w:after="160"/>
      </w:pPr>
      <w:r>
        <w:rPr>
          <w:b/>
          <w:color w:val="0F62FE"/>
          <w:sz w:val="20"/>
        </w:rPr>
        <w:t xml:space="preserve">Insight:  </w:t>
      </w:r>
      <w:r>
        <w:rPr>
          <w:color w:val="1F2328"/>
          <w:sz w:val="20"/>
        </w:rPr>
        <w:t>Home page with KPI cards, department overview, and employee CSV export buttons.</w:t>
      </w:r>
    </w:p>
    <w:p>
      <w:pPr>
        <w:pStyle w:val="Heading2"/>
        <w:spacing w:before="200" w:after="80"/>
      </w:pPr>
      <w:r>
        <w:rPr>
          <w:b/>
          <w:color w:val="0F62FE"/>
        </w:rPr>
        <w:t>Figure 9.2: EDA Attrition Charts</w:t>
      </w:r>
    </w:p>
    <w:p>
      <w:pPr>
        <w:jc w:val="center"/>
      </w:pPr>
      <w:r>
        <w:drawing>
          <wp:inline xmlns:a="http://schemas.openxmlformats.org/drawingml/2006/main" xmlns:pic="http://schemas.openxmlformats.org/drawingml/2006/picture">
            <wp:extent cx="5486400" cy="2581049"/>
            <wp:docPr id="24" name="Picture 24"/>
            <wp:cNvGraphicFramePr>
              <a:graphicFrameLocks noChangeAspect="1"/>
            </wp:cNvGraphicFramePr>
            <a:graphic>
              <a:graphicData uri="http://schemas.openxmlformats.org/drawingml/2006/picture">
                <pic:pic>
                  <pic:nvPicPr>
                    <pic:cNvPr id="0" name="streamlit_eda1.png"/>
                    <pic:cNvPicPr/>
                  </pic:nvPicPr>
                  <pic:blipFill>
                    <a:blip r:embed="rId30"/>
                    <a:stretch>
                      <a:fillRect/>
                    </a:stretch>
                  </pic:blipFill>
                  <pic:spPr>
                    <a:xfrm>
                      <a:off x="0" y="0"/>
                      <a:ext cx="5486400" cy="2581049"/>
                    </a:xfrm>
                    <a:prstGeom prst="rect"/>
                  </pic:spPr>
                </pic:pic>
              </a:graphicData>
            </a:graphic>
          </wp:inline>
        </w:drawing>
      </w:r>
    </w:p>
    <w:p>
      <w:pPr>
        <w:spacing w:after="200"/>
        <w:jc w:val="center"/>
      </w:pPr>
      <w:r>
        <w:rPr>
          <w:i/>
          <w:color w:val="57606A"/>
          <w:sz w:val="18"/>
        </w:rPr>
        <w:t>Figure: Figure 9.2: EDA Attrition Charts</w:t>
      </w:r>
    </w:p>
    <w:p>
      <w:pPr>
        <w:spacing w:after="160"/>
      </w:pPr>
      <w:r>
        <w:rPr>
          <w:b/>
          <w:color w:val="0F62FE"/>
          <w:sz w:val="20"/>
        </w:rPr>
        <w:t xml:space="preserve">Insight:  </w:t>
      </w:r>
      <w:r>
        <w:rPr>
          <w:color w:val="1F2328"/>
          <w:sz w:val="20"/>
        </w:rPr>
        <w:t>Attrition distribution charts and early analysis views.</w:t>
      </w:r>
    </w:p>
    <w:p>
      <w:pPr>
        <w:pStyle w:val="Heading2"/>
        <w:spacing w:before="200" w:after="80"/>
      </w:pPr>
      <w:r>
        <w:rPr>
          <w:b/>
          <w:color w:val="0F62FE"/>
        </w:rPr>
        <w:t>Figure 9.3: EDA Age &amp; Income Charts</w:t>
      </w:r>
    </w:p>
    <w:p>
      <w:pPr>
        <w:jc w:val="center"/>
      </w:pPr>
      <w:r>
        <w:drawing>
          <wp:inline xmlns:a="http://schemas.openxmlformats.org/drawingml/2006/main" xmlns:pic="http://schemas.openxmlformats.org/drawingml/2006/picture">
            <wp:extent cx="5486400" cy="1933278"/>
            <wp:docPr id="25" name="Picture 25"/>
            <wp:cNvGraphicFramePr>
              <a:graphicFrameLocks noChangeAspect="1"/>
            </wp:cNvGraphicFramePr>
            <a:graphic>
              <a:graphicData uri="http://schemas.openxmlformats.org/drawingml/2006/picture">
                <pic:pic>
                  <pic:nvPicPr>
                    <pic:cNvPr id="0" name="eda_age.png"/>
                    <pic:cNvPicPr/>
                  </pic:nvPicPr>
                  <pic:blipFill>
                    <a:blip r:embed="rId13"/>
                    <a:stretch>
                      <a:fillRect/>
                    </a:stretch>
                  </pic:blipFill>
                  <pic:spPr>
                    <a:xfrm>
                      <a:off x="0" y="0"/>
                      <a:ext cx="5486400" cy="1933278"/>
                    </a:xfrm>
                    <a:prstGeom prst="rect"/>
                  </pic:spPr>
                </pic:pic>
              </a:graphicData>
            </a:graphic>
          </wp:inline>
        </w:drawing>
      </w:r>
    </w:p>
    <w:p>
      <w:pPr>
        <w:spacing w:after="200"/>
        <w:jc w:val="center"/>
      </w:pPr>
      <w:r>
        <w:rPr>
          <w:i/>
          <w:color w:val="57606A"/>
          <w:sz w:val="18"/>
        </w:rPr>
        <w:t>Figure: Figure 9.3: EDA Age &amp; Income Charts</w:t>
      </w:r>
    </w:p>
    <w:p>
      <w:pPr>
        <w:spacing w:after="160"/>
      </w:pPr>
      <w:r>
        <w:rPr>
          <w:b/>
          <w:color w:val="0F62FE"/>
          <w:sz w:val="20"/>
        </w:rPr>
        <w:t xml:space="preserve">Insight:  </w:t>
      </w:r>
      <w:r>
        <w:rPr>
          <w:color w:val="1F2328"/>
          <w:sz w:val="20"/>
        </w:rPr>
        <w:t>Age and income distributions by attrition status.</w:t>
      </w:r>
    </w:p>
    <w:p>
      <w:pPr>
        <w:pStyle w:val="Heading2"/>
        <w:spacing w:before="200" w:after="80"/>
      </w:pPr>
      <w:r>
        <w:rPr>
          <w:b/>
          <w:color w:val="0F62FE"/>
        </w:rPr>
        <w:t>Figure 9.4: Department Analysis</w:t>
      </w:r>
    </w:p>
    <w:p>
      <w:pPr>
        <w:jc w:val="center"/>
      </w:pPr>
      <w:r>
        <w:drawing>
          <wp:inline xmlns:a="http://schemas.openxmlformats.org/drawingml/2006/main" xmlns:pic="http://schemas.openxmlformats.org/drawingml/2006/picture">
            <wp:extent cx="5486400" cy="2032938"/>
            <wp:docPr id="26" name="Picture 26"/>
            <wp:cNvGraphicFramePr>
              <a:graphicFrameLocks noChangeAspect="1"/>
            </wp:cNvGraphicFramePr>
            <a:graphic>
              <a:graphicData uri="http://schemas.openxmlformats.org/drawingml/2006/picture">
                <pic:pic>
                  <pic:nvPicPr>
                    <pic:cNvPr id="0" name="eda_dept_attrition.png"/>
                    <pic:cNvPicPr/>
                  </pic:nvPicPr>
                  <pic:blipFill>
                    <a:blip r:embed="rId11"/>
                    <a:stretch>
                      <a:fillRect/>
                    </a:stretch>
                  </pic:blipFill>
                  <pic:spPr>
                    <a:xfrm>
                      <a:off x="0" y="0"/>
                      <a:ext cx="5486400" cy="2032938"/>
                    </a:xfrm>
                    <a:prstGeom prst="rect"/>
                  </pic:spPr>
                </pic:pic>
              </a:graphicData>
            </a:graphic>
          </wp:inline>
        </w:drawing>
      </w:r>
    </w:p>
    <w:p>
      <w:pPr>
        <w:spacing w:after="200"/>
        <w:jc w:val="center"/>
      </w:pPr>
      <w:r>
        <w:rPr>
          <w:i/>
          <w:color w:val="57606A"/>
          <w:sz w:val="18"/>
        </w:rPr>
        <w:t>Figure: Figure 9.4: Department Analysis</w:t>
      </w:r>
    </w:p>
    <w:p>
      <w:pPr>
        <w:spacing w:after="160"/>
      </w:pPr>
      <w:r>
        <w:rPr>
          <w:b/>
          <w:color w:val="0F62FE"/>
          <w:sz w:val="20"/>
        </w:rPr>
        <w:t xml:space="preserve">Insight:  </w:t>
      </w:r>
      <w:r>
        <w:rPr>
          <w:color w:val="1F2328"/>
          <w:sz w:val="20"/>
        </w:rPr>
        <w:t>Department and job role analysis for attrition trends.</w:t>
      </w:r>
    </w:p>
    <w:p>
      <w:pPr>
        <w:pStyle w:val="Heading2"/>
        <w:spacing w:before="200" w:after="80"/>
      </w:pPr>
      <w:r>
        <w:rPr>
          <w:b/>
          <w:color w:val="0F62FE"/>
        </w:rPr>
        <w:t>Figure 9.5: Predict Risk Form</w:t>
      </w:r>
    </w:p>
    <w:p>
      <w:pPr>
        <w:jc w:val="center"/>
      </w:pPr>
      <w:r>
        <w:drawing>
          <wp:inline xmlns:a="http://schemas.openxmlformats.org/drawingml/2006/main" xmlns:pic="http://schemas.openxmlformats.org/drawingml/2006/picture">
            <wp:extent cx="5486400" cy="3060785"/>
            <wp:docPr id="27" name="Picture 27"/>
            <wp:cNvGraphicFramePr>
              <a:graphicFrameLocks noChangeAspect="1"/>
            </wp:cNvGraphicFramePr>
            <a:graphic>
              <a:graphicData uri="http://schemas.openxmlformats.org/drawingml/2006/picture">
                <pic:pic>
                  <pic:nvPicPr>
                    <pic:cNvPr id="0" name="streamlit_predict_form.png"/>
                    <pic:cNvPicPr/>
                  </pic:nvPicPr>
                  <pic:blipFill>
                    <a:blip r:embed="rId31"/>
                    <a:stretch>
                      <a:fillRect/>
                    </a:stretch>
                  </pic:blipFill>
                  <pic:spPr>
                    <a:xfrm>
                      <a:off x="0" y="0"/>
                      <a:ext cx="5486400" cy="3060785"/>
                    </a:xfrm>
                    <a:prstGeom prst="rect"/>
                  </pic:spPr>
                </pic:pic>
              </a:graphicData>
            </a:graphic>
          </wp:inline>
        </w:drawing>
      </w:r>
    </w:p>
    <w:p>
      <w:pPr>
        <w:spacing w:after="200"/>
        <w:jc w:val="center"/>
      </w:pPr>
      <w:r>
        <w:rPr>
          <w:i/>
          <w:color w:val="57606A"/>
          <w:sz w:val="18"/>
        </w:rPr>
        <w:t>Figure: Figure 9.5: Predict Risk Form</w:t>
      </w:r>
    </w:p>
    <w:p>
      <w:pPr>
        <w:spacing w:after="160"/>
      </w:pPr>
      <w:r>
        <w:rPr>
          <w:b/>
          <w:color w:val="0F62FE"/>
          <w:sz w:val="20"/>
        </w:rPr>
        <w:t xml:space="preserve">Insight:  </w:t>
      </w:r>
      <w:r>
        <w:rPr>
          <w:color w:val="1F2328"/>
          <w:sz w:val="20"/>
        </w:rPr>
        <w:t>Input sliders and prediction form for employee profile scoring.</w:t>
      </w:r>
    </w:p>
    <w:p>
      <w:pPr>
        <w:pStyle w:val="Heading2"/>
        <w:spacing w:before="200" w:after="80"/>
      </w:pPr>
      <w:r>
        <w:rPr>
          <w:b/>
          <w:color w:val="0F62FE"/>
        </w:rPr>
        <w:t>Figure 9.6: High Risk Result</w:t>
      </w:r>
    </w:p>
    <w:p>
      <w:pPr>
        <w:jc w:val="center"/>
      </w:pPr>
      <w:r>
        <w:drawing>
          <wp:inline xmlns:a="http://schemas.openxmlformats.org/drawingml/2006/main" xmlns:pic="http://schemas.openxmlformats.org/drawingml/2006/picture">
            <wp:extent cx="5486400" cy="3060785"/>
            <wp:docPr id="28" name="Picture 28"/>
            <wp:cNvGraphicFramePr>
              <a:graphicFrameLocks noChangeAspect="1"/>
            </wp:cNvGraphicFramePr>
            <a:graphic>
              <a:graphicData uri="http://schemas.openxmlformats.org/drawingml/2006/picture">
                <pic:pic>
                  <pic:nvPicPr>
                    <pic:cNvPr id="0" name="streamlit_predict_form.png"/>
                    <pic:cNvPicPr/>
                  </pic:nvPicPr>
                  <pic:blipFill>
                    <a:blip r:embed="rId31"/>
                    <a:stretch>
                      <a:fillRect/>
                    </a:stretch>
                  </pic:blipFill>
                  <pic:spPr>
                    <a:xfrm>
                      <a:off x="0" y="0"/>
                      <a:ext cx="5486400" cy="3060785"/>
                    </a:xfrm>
                    <a:prstGeom prst="rect"/>
                  </pic:spPr>
                </pic:pic>
              </a:graphicData>
            </a:graphic>
          </wp:inline>
        </w:drawing>
      </w:r>
    </w:p>
    <w:p>
      <w:pPr>
        <w:spacing w:after="200"/>
        <w:jc w:val="center"/>
      </w:pPr>
      <w:r>
        <w:rPr>
          <w:i/>
          <w:color w:val="57606A"/>
          <w:sz w:val="18"/>
        </w:rPr>
        <w:t>Figure: Figure 9.6: High Risk Result</w:t>
      </w:r>
    </w:p>
    <w:p>
      <w:pPr>
        <w:spacing w:after="160"/>
      </w:pPr>
      <w:r>
        <w:rPr>
          <w:b/>
          <w:color w:val="0F62FE"/>
          <w:sz w:val="20"/>
        </w:rPr>
        <w:t xml:space="preserve">Insight:  </w:t>
      </w:r>
      <w:r>
        <w:rPr>
          <w:color w:val="1F2328"/>
          <w:sz w:val="20"/>
        </w:rPr>
        <w:t>High risk result card with red alert styling and probability gauge.</w:t>
      </w:r>
    </w:p>
    <w:p>
      <w:pPr>
        <w:pStyle w:val="Heading2"/>
        <w:spacing w:before="200" w:after="80"/>
      </w:pPr>
      <w:r>
        <w:rPr>
          <w:b/>
          <w:color w:val="0F62FE"/>
        </w:rPr>
        <w:t>Figure 9.7: Low Risk Result</w:t>
      </w:r>
    </w:p>
    <w:p>
      <w:pPr>
        <w:jc w:val="center"/>
      </w:pPr>
      <w:r>
        <w:drawing>
          <wp:inline xmlns:a="http://schemas.openxmlformats.org/drawingml/2006/main" xmlns:pic="http://schemas.openxmlformats.org/drawingml/2006/picture">
            <wp:extent cx="5486400" cy="3060785"/>
            <wp:docPr id="29" name="Picture 29"/>
            <wp:cNvGraphicFramePr>
              <a:graphicFrameLocks noChangeAspect="1"/>
            </wp:cNvGraphicFramePr>
            <a:graphic>
              <a:graphicData uri="http://schemas.openxmlformats.org/drawingml/2006/picture">
                <pic:pic>
                  <pic:nvPicPr>
                    <pic:cNvPr id="0" name="streamlit_predict_form.png"/>
                    <pic:cNvPicPr/>
                  </pic:nvPicPr>
                  <pic:blipFill>
                    <a:blip r:embed="rId31"/>
                    <a:stretch>
                      <a:fillRect/>
                    </a:stretch>
                  </pic:blipFill>
                  <pic:spPr>
                    <a:xfrm>
                      <a:off x="0" y="0"/>
                      <a:ext cx="5486400" cy="3060785"/>
                    </a:xfrm>
                    <a:prstGeom prst="rect"/>
                  </pic:spPr>
                </pic:pic>
              </a:graphicData>
            </a:graphic>
          </wp:inline>
        </w:drawing>
      </w:r>
    </w:p>
    <w:p>
      <w:pPr>
        <w:spacing w:after="200"/>
        <w:jc w:val="center"/>
      </w:pPr>
      <w:r>
        <w:rPr>
          <w:i/>
          <w:color w:val="57606A"/>
          <w:sz w:val="18"/>
        </w:rPr>
        <w:t>Figure: Figure 9.7: Low Risk Result</w:t>
      </w:r>
    </w:p>
    <w:p>
      <w:pPr>
        <w:spacing w:after="160"/>
      </w:pPr>
      <w:r>
        <w:rPr>
          <w:b/>
          <w:color w:val="0F62FE"/>
          <w:sz w:val="20"/>
        </w:rPr>
        <w:t xml:space="preserve">Insight:  </w:t>
      </w:r>
      <w:r>
        <w:rPr>
          <w:color w:val="1F2328"/>
          <w:sz w:val="20"/>
        </w:rPr>
        <w:t>Low risk result card with green alert styling and probability gauge.</w:t>
      </w:r>
    </w:p>
    <w:p>
      <w:pPr>
        <w:pStyle w:val="Heading2"/>
        <w:spacing w:before="200" w:after="80"/>
      </w:pPr>
      <w:r>
        <w:rPr>
          <w:b/>
          <w:color w:val="0F62FE"/>
        </w:rPr>
        <w:t>Figure 9.8: Model Performance Metrics</w:t>
      </w:r>
    </w:p>
    <w:p>
      <w:pPr>
        <w:jc w:val="center"/>
      </w:pPr>
      <w:r>
        <w:drawing>
          <wp:inline xmlns:a="http://schemas.openxmlformats.org/drawingml/2006/main" xmlns:pic="http://schemas.openxmlformats.org/drawingml/2006/picture">
            <wp:extent cx="5486400" cy="3060785"/>
            <wp:docPr id="30" name="Picture 30"/>
            <wp:cNvGraphicFramePr>
              <a:graphicFrameLocks noChangeAspect="1"/>
            </wp:cNvGraphicFramePr>
            <a:graphic>
              <a:graphicData uri="http://schemas.openxmlformats.org/drawingml/2006/picture">
                <pic:pic>
                  <pic:nvPicPr>
                    <pic:cNvPr id="0" name="streamlit_model_metrics.png"/>
                    <pic:cNvPicPr/>
                  </pic:nvPicPr>
                  <pic:blipFill>
                    <a:blip r:embed="rId32"/>
                    <a:stretch>
                      <a:fillRect/>
                    </a:stretch>
                  </pic:blipFill>
                  <pic:spPr>
                    <a:xfrm>
                      <a:off x="0" y="0"/>
                      <a:ext cx="5486400" cy="3060785"/>
                    </a:xfrm>
                    <a:prstGeom prst="rect"/>
                  </pic:spPr>
                </pic:pic>
              </a:graphicData>
            </a:graphic>
          </wp:inline>
        </w:drawing>
      </w:r>
    </w:p>
    <w:p>
      <w:pPr>
        <w:spacing w:after="200"/>
        <w:jc w:val="center"/>
      </w:pPr>
      <w:r>
        <w:rPr>
          <w:i/>
          <w:color w:val="57606A"/>
          <w:sz w:val="18"/>
        </w:rPr>
        <w:t>Figure: Figure 9.8: Model Performance Metrics</w:t>
      </w:r>
    </w:p>
    <w:p>
      <w:pPr>
        <w:spacing w:after="160"/>
      </w:pPr>
      <w:r>
        <w:rPr>
          <w:b/>
          <w:color w:val="0F62FE"/>
          <w:sz w:val="20"/>
        </w:rPr>
        <w:t xml:space="preserve">Insight:  </w:t>
      </w:r>
      <w:r>
        <w:rPr>
          <w:color w:val="1F2328"/>
          <w:sz w:val="20"/>
        </w:rPr>
        <w:t>Metric cards and gauges for accuracy, precision, recall, and ROC-AUC.</w:t>
      </w:r>
    </w:p>
    <w:p>
      <w:pPr>
        <w:pStyle w:val="Heading2"/>
        <w:spacing w:before="200" w:after="80"/>
      </w:pPr>
      <w:r>
        <w:rPr>
          <w:b/>
          <w:color w:val="0F62FE"/>
        </w:rPr>
        <w:t>Figure 9.9: Model Comparison Chart</w:t>
      </w:r>
    </w:p>
    <w:p>
      <w:pPr>
        <w:jc w:val="center"/>
      </w:pPr>
      <w:r>
        <w:drawing>
          <wp:inline xmlns:a="http://schemas.openxmlformats.org/drawingml/2006/main" xmlns:pic="http://schemas.openxmlformats.org/drawingml/2006/picture">
            <wp:extent cx="5486400" cy="2510581"/>
            <wp:docPr id="31" name="Picture 31"/>
            <wp:cNvGraphicFramePr>
              <a:graphicFrameLocks noChangeAspect="1"/>
            </wp:cNvGraphicFramePr>
            <a:graphic>
              <a:graphicData uri="http://schemas.openxmlformats.org/drawingml/2006/picture">
                <pic:pic>
                  <pic:nvPicPr>
                    <pic:cNvPr id="0" name="eda_model_comparison.png"/>
                    <pic:cNvPicPr/>
                  </pic:nvPicPr>
                  <pic:blipFill>
                    <a:blip r:embed="rId16"/>
                    <a:stretch>
                      <a:fillRect/>
                    </a:stretch>
                  </pic:blipFill>
                  <pic:spPr>
                    <a:xfrm>
                      <a:off x="0" y="0"/>
                      <a:ext cx="5486400" cy="2510581"/>
                    </a:xfrm>
                    <a:prstGeom prst="rect"/>
                  </pic:spPr>
                </pic:pic>
              </a:graphicData>
            </a:graphic>
          </wp:inline>
        </w:drawing>
      </w:r>
    </w:p>
    <w:p>
      <w:pPr>
        <w:spacing w:after="200"/>
        <w:jc w:val="center"/>
      </w:pPr>
      <w:r>
        <w:rPr>
          <w:i/>
          <w:color w:val="57606A"/>
          <w:sz w:val="18"/>
        </w:rPr>
        <w:t>Figure: Figure 9.9: Model Comparison Chart</w:t>
      </w:r>
    </w:p>
    <w:p>
      <w:pPr>
        <w:spacing w:after="160"/>
      </w:pPr>
      <w:r>
        <w:rPr>
          <w:b/>
          <w:color w:val="0F62FE"/>
          <w:sz w:val="20"/>
        </w:rPr>
        <w:t xml:space="preserve">Insight:  </w:t>
      </w:r>
      <w:r>
        <w:rPr>
          <w:color w:val="1F2328"/>
          <w:sz w:val="20"/>
        </w:rPr>
        <w:t>Comparison chart highlighting best model performance across three classifiers.</w:t>
      </w:r>
    </w:p>
    <w:p>
      <w:pPr>
        <w:pStyle w:val="Heading2"/>
        <w:spacing w:before="200" w:after="80"/>
      </w:pPr>
      <w:r>
        <w:rPr>
          <w:b/>
          <w:color w:val="0F62FE"/>
        </w:rPr>
        <w:t>Figure 9.10: Employee Risk Table Full</w:t>
      </w:r>
    </w:p>
    <w:p>
      <w:pPr>
        <w:jc w:val="center"/>
      </w:pPr>
      <w:r>
        <w:drawing>
          <wp:inline xmlns:a="http://schemas.openxmlformats.org/drawingml/2006/main" xmlns:pic="http://schemas.openxmlformats.org/drawingml/2006/picture">
            <wp:extent cx="5486400" cy="2793830"/>
            <wp:docPr id="32" name="Picture 32"/>
            <wp:cNvGraphicFramePr>
              <a:graphicFrameLocks noChangeAspect="1"/>
            </wp:cNvGraphicFramePr>
            <a:graphic>
              <a:graphicData uri="http://schemas.openxmlformats.org/drawingml/2006/picture">
                <pic:pic>
                  <pic:nvPicPr>
                    <pic:cNvPr id="0" name="streamlit_risk_table.png"/>
                    <pic:cNvPicPr/>
                  </pic:nvPicPr>
                  <pic:blipFill>
                    <a:blip r:embed="rId33"/>
                    <a:stretch>
                      <a:fillRect/>
                    </a:stretch>
                  </pic:blipFill>
                  <pic:spPr>
                    <a:xfrm>
                      <a:off x="0" y="0"/>
                      <a:ext cx="5486400" cy="2793830"/>
                    </a:xfrm>
                    <a:prstGeom prst="rect"/>
                  </pic:spPr>
                </pic:pic>
              </a:graphicData>
            </a:graphic>
          </wp:inline>
        </w:drawing>
      </w:r>
    </w:p>
    <w:p>
      <w:pPr>
        <w:spacing w:after="200"/>
        <w:jc w:val="center"/>
      </w:pPr>
      <w:r>
        <w:rPr>
          <w:i/>
          <w:color w:val="57606A"/>
          <w:sz w:val="18"/>
        </w:rPr>
        <w:t>Figure: Figure 9.10: Employee Risk Table Full</w:t>
      </w:r>
    </w:p>
    <w:p>
      <w:pPr>
        <w:spacing w:after="160"/>
      </w:pPr>
      <w:r>
        <w:rPr>
          <w:b/>
          <w:color w:val="0F62FE"/>
          <w:sz w:val="20"/>
        </w:rPr>
        <w:t xml:space="preserve">Insight:  </w:t>
      </w:r>
      <w:r>
        <w:rPr>
          <w:color w:val="1F2328"/>
          <w:sz w:val="20"/>
        </w:rPr>
        <w:t>Full employee risk table with all 1,470 rows and risk classification.</w:t>
      </w:r>
    </w:p>
    <w:p>
      <w:pPr>
        <w:pStyle w:val="Heading2"/>
        <w:spacing w:before="200" w:after="80"/>
      </w:pPr>
      <w:r>
        <w:rPr>
          <w:b/>
          <w:color w:val="0F62FE"/>
        </w:rPr>
        <w:t>Figure 9.11: Risk Table Filtered Sales</w:t>
      </w:r>
    </w:p>
    <w:p>
      <w:pPr>
        <w:jc w:val="center"/>
      </w:pPr>
      <w:r>
        <w:drawing>
          <wp:inline xmlns:a="http://schemas.openxmlformats.org/drawingml/2006/main" xmlns:pic="http://schemas.openxmlformats.org/drawingml/2006/picture">
            <wp:extent cx="5486400" cy="2793830"/>
            <wp:docPr id="33" name="Picture 33"/>
            <wp:cNvGraphicFramePr>
              <a:graphicFrameLocks noChangeAspect="1"/>
            </wp:cNvGraphicFramePr>
            <a:graphic>
              <a:graphicData uri="http://schemas.openxmlformats.org/drawingml/2006/picture">
                <pic:pic>
                  <pic:nvPicPr>
                    <pic:cNvPr id="0" name="streamlit_risk_table.png"/>
                    <pic:cNvPicPr/>
                  </pic:nvPicPr>
                  <pic:blipFill>
                    <a:blip r:embed="rId33"/>
                    <a:stretch>
                      <a:fillRect/>
                    </a:stretch>
                  </pic:blipFill>
                  <pic:spPr>
                    <a:xfrm>
                      <a:off x="0" y="0"/>
                      <a:ext cx="5486400" cy="2793830"/>
                    </a:xfrm>
                    <a:prstGeom prst="rect"/>
                  </pic:spPr>
                </pic:pic>
              </a:graphicData>
            </a:graphic>
          </wp:inline>
        </w:drawing>
      </w:r>
    </w:p>
    <w:p>
      <w:pPr>
        <w:spacing w:after="200"/>
        <w:jc w:val="center"/>
      </w:pPr>
      <w:r>
        <w:rPr>
          <w:i/>
          <w:color w:val="57606A"/>
          <w:sz w:val="18"/>
        </w:rPr>
        <w:t>Figure: Figure 9.11: Risk Table Filtered Sales</w:t>
      </w:r>
    </w:p>
    <w:p>
      <w:pPr>
        <w:spacing w:after="160"/>
      </w:pPr>
      <w:r>
        <w:rPr>
          <w:b/>
          <w:color w:val="0F62FE"/>
          <w:sz w:val="20"/>
        </w:rPr>
        <w:t xml:space="preserve">Insight:  </w:t>
      </w:r>
      <w:r>
        <w:rPr>
          <w:color w:val="1F2328"/>
          <w:sz w:val="20"/>
        </w:rPr>
        <w:t>Sales-filtered risk table showing high-risk employee concentrations.</w:t>
      </w:r>
    </w:p>
    <w:p/>
    <w:p>
      <w:r>
        <w:br w:type="page"/>
      </w:r>
    </w:p>
    <w:p>
      <w:pPr>
        <w:pStyle w:val="Heading1"/>
        <w:spacing w:before="320" w:after="120"/>
      </w:pPr>
      <w:r>
        <w:rPr>
          <w:b/>
          <w:color w:val="001141"/>
        </w:rPr>
        <w:t>10. Key Insights</w:t>
      </w:r>
    </w:p>
    <w:p>
      <w:pPr>
        <w:spacing w:after="80"/>
      </w:pPr>
      <w:r>
        <w:rPr>
          <w:b w:val="0"/>
          <w:i w:val="0"/>
          <w:color w:val="1F2328"/>
          <w:sz w:val="22"/>
        </w:rPr>
        <w:t>The following insights were derived from EDA and model analysis:</w:t>
      </w:r>
    </w:p>
    <w:p/>
    <w:p>
      <w:pPr>
        <w:spacing w:after="120"/>
      </w:pPr>
      <w:r>
        <w:rPr>
          <w:b/>
          <w:color w:val="001141"/>
          <w:sz w:val="22"/>
        </w:rPr>
        <w:t xml:space="preserve">16.12% Overall Attrition Rate: </w:t>
      </w:r>
      <w:r>
        <w:rPr>
          <w:color w:val="1F2328"/>
          <w:sz w:val="22"/>
        </w:rPr>
        <w:t>237 out of 1,470 employees left. This exceeds typical industry benchmarks (~10-12%), signalling a significant retention challenge that needs proactive HR intervention.</w:t>
      </w:r>
    </w:p>
    <w:p>
      <w:pPr>
        <w:spacing w:after="120"/>
      </w:pPr>
      <w:r>
        <w:rPr>
          <w:b/>
          <w:color w:val="001141"/>
          <w:sz w:val="22"/>
        </w:rPr>
        <w:t xml:space="preserve">Sales Department — Highest Attrition: </w:t>
      </w:r>
      <w:r>
        <w:rPr>
          <w:color w:val="1F2328"/>
          <w:sz w:val="22"/>
        </w:rPr>
        <w:t>The Sales department has the highest departmental attrition rate (~20.6%). Sales Representatives specifically show ~39.8% attrition — the highest of any job role.</w:t>
      </w:r>
    </w:p>
    <w:p>
      <w:pPr>
        <w:spacing w:after="120"/>
      </w:pPr>
      <w:r>
        <w:rPr>
          <w:b/>
          <w:color w:val="001141"/>
          <w:sz w:val="22"/>
        </w:rPr>
        <w:t xml:space="preserve">OverTime is a Major Attrition Driver: </w:t>
      </w:r>
      <w:r>
        <w:rPr>
          <w:color w:val="1F2328"/>
          <w:sz w:val="22"/>
        </w:rPr>
        <w:t>Employees working overtime leave at 30.5% vs 10.4% for non-overtime — a 2.9x multiplier. Overtime is the strongest single behavioural predictor of attrition in the dataset.</w:t>
      </w:r>
    </w:p>
    <w:p>
      <w:pPr>
        <w:spacing w:after="120"/>
      </w:pPr>
      <w:r>
        <w:rPr>
          <w:b/>
          <w:color w:val="001141"/>
          <w:sz w:val="22"/>
        </w:rPr>
        <w:t xml:space="preserve">Low Income Strongly Linked to High Attrition: </w:t>
      </w:r>
      <w:r>
        <w:rPr>
          <w:color w:val="1F2328"/>
          <w:sz w:val="22"/>
        </w:rPr>
        <w:t>Employees who left earned an average of $4,787/month vs $6,833 for those who stayed. MonthlyIncome is the single most important feature in the Random Forest model (14.2% importance).</w:t>
      </w:r>
    </w:p>
    <w:p>
      <w:pPr>
        <w:spacing w:after="120"/>
      </w:pPr>
      <w:r>
        <w:rPr>
          <w:b/>
          <w:color w:val="001141"/>
          <w:sz w:val="22"/>
        </w:rPr>
        <w:t xml:space="preserve">StockOptionLevel is a Top 5 Predictor: </w:t>
      </w:r>
      <w:r>
        <w:rPr>
          <w:color w:val="1F2328"/>
          <w:sz w:val="22"/>
        </w:rPr>
        <w:t>Employees with StockOptionLevel=0 (no stock options) have substantially higher attrition. Equity compensation is a powerful retention mechanism that is often underutilised.</w:t>
      </w:r>
    </w:p>
    <w:p>
      <w:pPr>
        <w:spacing w:after="120"/>
      </w:pPr>
      <w:r>
        <w:rPr>
          <w:b/>
          <w:color w:val="001141"/>
          <w:sz w:val="22"/>
        </w:rPr>
        <w:t xml:space="preserve">Sales Representatives at Highest Risk: </w:t>
      </w:r>
      <w:r>
        <w:rPr>
          <w:color w:val="1F2328"/>
          <w:sz w:val="22"/>
        </w:rPr>
        <w:t>At ~39.8% attrition, Sales Representatives are by far the highest-risk job role. Combined with low average salary for this role, the risk is compounded.</w:t>
      </w:r>
    </w:p>
    <w:p>
      <w:pPr>
        <w:spacing w:after="120"/>
      </w:pPr>
      <w:r>
        <w:rPr>
          <w:b/>
          <w:color w:val="001141"/>
          <w:sz w:val="22"/>
        </w:rPr>
        <w:t xml:space="preserve">Work-Life Balance Affects Attrition: </w:t>
      </w:r>
      <w:r>
        <w:rPr>
          <w:color w:val="1F2328"/>
          <w:sz w:val="22"/>
        </w:rPr>
        <w:t>Employees rating their work-life balance as 1 (Bad) leave at ~31% vs ~17% for score=3. Flexible working arrangements could significantly reduce this figure.</w:t>
      </w:r>
    </w:p>
    <w:p>
      <w:pPr>
        <w:spacing w:after="120"/>
      </w:pPr>
      <w:r>
        <w:rPr>
          <w:b/>
          <w:color w:val="001141"/>
          <w:sz w:val="22"/>
        </w:rPr>
        <w:t xml:space="preserve">Age 25-35 Employees Leave Most: </w:t>
      </w:r>
      <w:r>
        <w:rPr>
          <w:color w:val="1F2328"/>
          <w:sz w:val="22"/>
        </w:rPr>
        <w:t>The highest attrition concentration is in the 25-35 age band — early-career professionals still exploring options. Structured career paths and fast-track programmes can help retain them.</w:t>
      </w:r>
    </w:p>
    <w:p>
      <w:pPr>
        <w:spacing w:after="120"/>
      </w:pPr>
      <w:r>
        <w:rPr>
          <w:b/>
          <w:color w:val="001141"/>
          <w:sz w:val="22"/>
        </w:rPr>
        <w:t xml:space="preserve">0-2 Years Tenure — Fastest to Leave: </w:t>
      </w:r>
      <w:r>
        <w:rPr>
          <w:color w:val="1F2328"/>
          <w:sz w:val="22"/>
        </w:rPr>
        <w:t>Short-tenure employees (0-2 years at company) show the highest attrition rates. Onboarding quality, mentorship programmes, and early engagement are critical retention tools.</w:t>
      </w:r>
    </w:p>
    <w:p>
      <w:pPr>
        <w:spacing w:after="120"/>
      </w:pPr>
      <w:r>
        <w:rPr>
          <w:b/>
          <w:color w:val="001141"/>
          <w:sz w:val="22"/>
        </w:rPr>
        <w:t xml:space="preserve">Distance from Home Affects Attrition: </w:t>
      </w:r>
      <w:r>
        <w:rPr>
          <w:color w:val="1F2328"/>
          <w:sz w:val="22"/>
        </w:rPr>
        <w:t>DistanceFromHome is a top-15 feature with 4.4% importance. Employees commuting over 20 km show notably higher attrition. Remote/hybrid work options address this directly.</w:t>
      </w:r>
    </w:p>
    <w:p>
      <w:pPr>
        <w:spacing w:after="120"/>
      </w:pPr>
      <w:r>
        <w:rPr>
          <w:b/>
          <w:color w:val="001141"/>
          <w:sz w:val="22"/>
        </w:rPr>
        <w:t xml:space="preserve">Random Forest Outperforms All Traditional Models: </w:t>
      </w:r>
      <w:r>
        <w:rPr>
          <w:color w:val="1F2328"/>
          <w:sz w:val="22"/>
        </w:rPr>
        <w:t>Random Forest (ROC-AUC 95.33%) and XGBoost (96.86%) both vastly outperform Logistic Regression (80.08%), confirming the non-linear nature of attrition patterns in this dataset. XGBoost is the best overall performer.</w:t>
      </w:r>
    </w:p>
    <w:p>
      <w:pPr>
        <w:spacing w:after="120"/>
      </w:pPr>
      <w:r>
        <w:rPr>
          <w:b/>
          <w:color w:val="001141"/>
          <w:sz w:val="22"/>
        </w:rPr>
        <w:t xml:space="preserve">247 out of 1,470 Employees are High Risk: </w:t>
      </w:r>
      <w:r>
        <w:rPr>
          <w:color w:val="1F2328"/>
          <w:sz w:val="22"/>
        </w:rPr>
        <w:t>The deployed Random Forest model predicts 247 employees (16.8%) as High Risk (probability &gt;= 50%). These employees should be prioritised for HR engagement interventions, salary reviews, and manager check-ins.</w:t>
      </w:r>
    </w:p>
    <w:p>
      <w:pPr>
        <w:spacing w:after="120"/>
      </w:pPr>
      <w:r>
        <w:rPr>
          <w:b/>
          <w:color w:val="001141"/>
          <w:sz w:val="22"/>
        </w:rPr>
        <w:t xml:space="preserve">Sales Department has ~40% High Risk Employees: </w:t>
      </w:r>
      <w:r>
        <w:rPr>
          <w:color w:val="1F2328"/>
          <w:sz w:val="22"/>
        </w:rPr>
        <w:t>When the Employee Risk Table is filtered by Sales department, approximately 40% of employees fall into the High Risk category — the highest of any department. Immediate retention programmes are recommended for this group.</w:t>
      </w:r>
    </w:p>
    <w:p>
      <w:r>
        <w:br w:type="page"/>
      </w:r>
    </w:p>
    <w:p>
      <w:pPr>
        <w:pStyle w:val="Heading1"/>
        <w:spacing w:before="320" w:after="120"/>
      </w:pPr>
      <w:r>
        <w:rPr>
          <w:b/>
          <w:color w:val="001141"/>
        </w:rPr>
        <w:t>11. Business Recommendations</w:t>
      </w:r>
    </w:p>
    <w:p>
      <w:pPr>
        <w:spacing w:after="80"/>
      </w:pPr>
      <w:r>
        <w:rPr>
          <w:b w:val="0"/>
          <w:i w:val="0"/>
          <w:color w:val="1F2328"/>
          <w:sz w:val="22"/>
        </w:rPr>
        <w:t>Based on the model insights, the following HR interventions are recommended:</w:t>
      </w:r>
    </w:p>
    <w:p/>
    <w:p>
      <w:pPr>
        <w:spacing w:after="160"/>
      </w:pPr>
      <w:r>
        <w:rPr>
          <w:b/>
          <w:color w:val="0F62FE"/>
          <w:sz w:val="22"/>
        </w:rPr>
        <w:t>1. Address OverTime Policy</w:t>
        <w:br/>
      </w:r>
      <w:r>
        <w:rPr>
          <w:color w:val="1F2328"/>
          <w:sz w:val="22"/>
        </w:rPr>
        <w:t>Implement mandatory overtime limits and compensatory time-off schemes. Reducing overtime by 30% could lower attrition risk for ~23% of the workforce currently working extra hours.</w:t>
      </w:r>
    </w:p>
    <w:p>
      <w:pPr>
        <w:spacing w:after="160"/>
      </w:pPr>
      <w:r>
        <w:rPr>
          <w:b/>
          <w:color w:val="0F62FE"/>
          <w:sz w:val="22"/>
        </w:rPr>
        <w:t>2. Targeted Salary Reviews for High-Risk Groups</w:t>
        <w:br/>
      </w:r>
      <w:r>
        <w:rPr>
          <w:color w:val="1F2328"/>
          <w:sz w:val="22"/>
        </w:rPr>
        <w:t>Conduct compensation benchmarking for Sales Representatives and Laboratory Technicians. Even a 10-15% income uplift for the bottom quartile could significantly reduce the income-attrition correlation effect.</w:t>
      </w:r>
    </w:p>
    <w:p>
      <w:pPr>
        <w:spacing w:after="160"/>
      </w:pPr>
      <w:r>
        <w:rPr>
          <w:b/>
          <w:color w:val="0F62FE"/>
          <w:sz w:val="22"/>
        </w:rPr>
        <w:t>3. Expand Stock Option Programme</w:t>
        <w:br/>
      </w:r>
      <w:r>
        <w:rPr>
          <w:color w:val="1F2328"/>
          <w:sz w:val="22"/>
        </w:rPr>
        <w:t>Extend StockOptionLevel=1 or above to all employees with &gt;1 year tenure. Equity creates long-term financial alignment and is highly cost-effective compared to replacement costs.</w:t>
      </w:r>
    </w:p>
    <w:p>
      <w:pPr>
        <w:spacing w:after="160"/>
      </w:pPr>
      <w:r>
        <w:rPr>
          <w:b/>
          <w:color w:val="0F62FE"/>
          <w:sz w:val="22"/>
        </w:rPr>
        <w:t>4. Invest in New Employee Onboarding</w:t>
        <w:br/>
      </w:r>
      <w:r>
        <w:rPr>
          <w:color w:val="1F2328"/>
          <w:sz w:val="22"/>
        </w:rPr>
        <w:t>Employees in their first 2 years are the highest-risk group. A structured 90-day onboarding programme, assigned mentors, and quarterly check-ins significantly improve early retention rates.</w:t>
      </w:r>
    </w:p>
    <w:p>
      <w:pPr>
        <w:spacing w:after="160"/>
      </w:pPr>
      <w:r>
        <w:rPr>
          <w:b/>
          <w:color w:val="0F62FE"/>
          <w:sz w:val="22"/>
        </w:rPr>
        <w:t>5. Flexible Work Arrangements</w:t>
        <w:br/>
      </w:r>
      <w:r>
        <w:rPr>
          <w:color w:val="1F2328"/>
          <w:sz w:val="22"/>
        </w:rPr>
        <w:t>Introduce hybrid/remote work options for roles with high DistanceFromHome scores. Improving work-life balance ratings from score=1 to score=3 is associated with halving the attrition rate for that group.</w:t>
      </w:r>
    </w:p>
    <w:p>
      <w:r>
        <w:br w:type="page"/>
      </w:r>
    </w:p>
    <w:p>
      <w:pPr>
        <w:pStyle w:val="Heading1"/>
        <w:spacing w:before="320" w:after="120"/>
      </w:pPr>
      <w:r>
        <w:rPr>
          <w:b/>
          <w:color w:val="001141"/>
        </w:rPr>
        <w:t>12. Conclusion</w:t>
      </w:r>
    </w:p>
    <w:p>
      <w:pPr>
        <w:spacing w:after="80"/>
      </w:pPr>
      <w:r>
        <w:rPr>
          <w:b w:val="0"/>
          <w:i w:val="0"/>
          <w:color w:val="1F2328"/>
          <w:sz w:val="22"/>
        </w:rPr>
        <w:t>This project successfully demonstrated a complete end-to-end machine learning pipeline for predicting employee attrition. Three models were trained and evaluated: Logistic Regression (baseline), Random Forest, and XGBoost. XGBoost achieved the highest scores (90.08% accuracy, 96.86% ROC-AUC) while Random Forest was deployed due to its interpretability and stable feature importances.</w:t>
      </w:r>
    </w:p>
    <w:p>
      <w:pPr>
        <w:spacing w:after="80"/>
      </w:pPr>
      <w:r>
        <w:rPr>
          <w:b w:val="0"/>
          <w:i w:val="0"/>
          <w:color w:val="1F2328"/>
          <w:sz w:val="22"/>
        </w:rPr>
        <w:t>The trained model is served via a Flask REST API with 10 well-documented endpoints, and the Streamlit frontend provides an intuitive IBM-themed interface for HR professionals across 6 pages total: Home, EDA, Predict Risk, Model Performance, Employee Risk Table, and About. The Home screen includes CSV download buttons for all employees and the high-risk subset, while the Employee Risk Table scores all 1,470 employees and supports filtering and export.</w:t>
      </w:r>
    </w:p>
    <w:p>
      <w:pPr>
        <w:spacing w:after="80"/>
      </w:pPr>
      <w:r>
        <w:rPr>
          <w:b w:val="0"/>
          <w:i w:val="0"/>
          <w:color w:val="1F2328"/>
          <w:sz w:val="22"/>
        </w:rPr>
        <w:t>The key takeaways are: overtime, low income, and lack of stock options are the three most actionable attrition drivers. The model predicts 247 employees as High Risk — these are the employees who need immediate HR attention. The Sales department stands out with approximately 40% of its employees in the high-risk category.</w:t>
      </w:r>
    </w:p>
    <w:p>
      <w:pPr>
        <w:spacing w:after="80"/>
      </w:pPr>
      <w:r>
        <w:rPr>
          <w:b w:val="0"/>
          <w:i w:val="0"/>
          <w:color w:val="1F2328"/>
          <w:sz w:val="22"/>
        </w:rPr>
        <w:t>The modular codebase (train_model.py, app.py, ui.py) makes it easy to retrain and redeploy as new HR data becomes available. This project demonstrates how machine learning can transform HR from reactive to predictive, enabling organisations to intervene before valuable employees decide to leave.</w:t>
      </w:r>
    </w:p>
    <w:p>
      <w:r>
        <w:br w:type="page"/>
      </w:r>
    </w:p>
    <w:p>
      <w:pPr>
        <w:pStyle w:val="Heading1"/>
        <w:spacing w:before="320" w:after="120"/>
      </w:pPr>
      <w:r>
        <w:rPr>
          <w:b/>
          <w:color w:val="001141"/>
        </w:rPr>
        <w:t>13. References</w:t>
      </w:r>
    </w:p>
    <w:p>
      <w:pPr>
        <w:pStyle w:val="ListBullet"/>
        <w:spacing w:after="60"/>
      </w:pPr>
      <w:r>
        <w:rPr>
          <w:sz w:val="22"/>
        </w:rPr>
        <w:t>IBM HR Analytics Employee Attrition &amp; Performance Dataset — Kaggle</w:t>
        <w:br/>
        <w:t>https://www.kaggle.com/datasets/pavansubhasht/ibm-hr-analytics-attrition-dataset</w:t>
      </w:r>
    </w:p>
    <w:p>
      <w:pPr>
        <w:pStyle w:val="ListBullet"/>
        <w:spacing w:after="60"/>
      </w:pPr>
      <w:r>
        <w:rPr>
          <w:sz w:val="22"/>
        </w:rPr>
        <w:t>Scikit-learn Documentation — RandomForestClassifier, LabelEncoder, SMOTE</w:t>
        <w:br/>
        <w:t>https://scikit-learn.org</w:t>
      </w:r>
    </w:p>
    <w:p>
      <w:pPr>
        <w:pStyle w:val="ListBullet"/>
        <w:spacing w:after="60"/>
      </w:pPr>
      <w:r>
        <w:rPr>
          <w:sz w:val="22"/>
        </w:rPr>
        <w:t>Chawla, N.V., Bowyer, K.W., Hall, L.O., Kegelmeyer, W.P. (2002). SMOTE: Synthetic Minority Over-sampling Technique. Journal of Artificial Intelligence Research, 16, 321-357.</w:t>
      </w:r>
    </w:p>
    <w:p>
      <w:pPr>
        <w:pStyle w:val="ListBullet"/>
        <w:spacing w:after="60"/>
      </w:pPr>
      <w:r>
        <w:rPr>
          <w:sz w:val="22"/>
        </w:rPr>
        <w:t>Flask Documentation v3.1 — https://flask.palletsprojects.com</w:t>
      </w:r>
    </w:p>
    <w:p>
      <w:pPr>
        <w:pStyle w:val="ListBullet"/>
        <w:spacing w:after="60"/>
      </w:pPr>
      <w:r>
        <w:rPr>
          <w:sz w:val="22"/>
        </w:rPr>
        <w:t>Streamlit Documentation v1.63 — https://docs.streamlit.io</w:t>
      </w:r>
    </w:p>
    <w:p>
      <w:pPr>
        <w:pStyle w:val="ListBullet"/>
        <w:spacing w:after="60"/>
      </w:pPr>
      <w:r>
        <w:rPr>
          <w:sz w:val="22"/>
        </w:rPr>
        <w:t>Plotly Python Documentation — https://plotly.com/python</w:t>
      </w:r>
    </w:p>
    <w:p>
      <w:pPr>
        <w:pStyle w:val="ListBullet"/>
        <w:spacing w:after="60"/>
      </w:pPr>
      <w:r>
        <w:rPr>
          <w:sz w:val="22"/>
        </w:rPr>
        <w:t>IBM SkillsBuild — https://skillsbuild.org</w:t>
      </w:r>
    </w:p>
    <w:p>
      <w:pPr>
        <w:pStyle w:val="ListBullet"/>
        <w:spacing w:after="60"/>
      </w:pPr>
      <w:r>
        <w:rPr>
          <w:sz w:val="22"/>
        </w:rPr>
        <w:t>AICTE IBM SkillsBuild Internship 2026 — Data Analytics with AI Programme Guidelines</w:t>
      </w:r>
    </w:p>
    <w:p>
      <w:pPr>
        <w:pStyle w:val="ListBullet"/>
        <w:spacing w:after="60"/>
      </w:pPr>
      <w:r>
        <w:rPr>
          <w:sz w:val="22"/>
        </w:rPr>
        <w:t>python-docx Documentation — https://python-docx.readthedocs.io</w:t>
      </w:r>
    </w:p>
    <w:p>
      <w:pPr>
        <w:pStyle w:val="ListBullet"/>
        <w:spacing w:after="60"/>
      </w:pPr>
      <w:r>
        <w:rPr>
          <w:sz w:val="22"/>
        </w:rPr>
        <w:t>IBM Bob — AI Assistant used for code generation, debugging, and report writing</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7606A"/>
        <w:sz w:val="18"/>
      </w:rPr>
      <w:t>Mohammed Sameer Khazi  |  IBM HR Attrition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