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Solution Design Document (SDD)</w:t>
      </w:r>
    </w:p>
    <w:p>
      <w:pPr>
        <w:spacing w:after="400"/>
        <w:jc w:val="center"/>
      </w:pPr>
      <w:r>
        <w:rPr>
          <w:color w:val="444444"/>
          <w:sz w:val="26"/>
          <w:szCs w:val="26"/>
        </w:rPr>
        <w:t xml:space="preserve">RM Report Reconciliation — Dispatcher/Performer Process</w:t>
      </w:r>
    </w:p>
    <w:p>
      <w:pPr>
        <w:spacing w:after="600"/>
        <w:jc w:val="center"/>
      </w:pPr>
      <w:r>
        <w:rPr>
          <w:color w:val="666666"/>
        </w:rPr>
        <w:t xml:space="preserve">Prepared: 2026-09-17  |  Companion document: RM_Report_Reconciliation_Process_Design_Document.docx</w:t>
      </w:r>
    </w:p>
    <w:p>
      <w:pPr>
        <w:pStyle w:val="Heading1"/>
        <w:spacing w:after="150" w:before="300"/>
      </w:pPr>
      <w:r>
        <w:t xml:space="preserve">1. Document Overview</w:t>
      </w:r>
    </w:p>
    <w:p>
      <w:pPr>
        <w:spacing w:after="120"/>
      </w:pPr>
      <w:r>
        <w:rPr>
          <w:b w:val="false"/>
          <w:bCs w:val="false"/>
          <w:i w:val="false"/>
          <w:iCs w:val="false"/>
        </w:rPr>
        <w:t xml:space="preserve">This Solution Design Document builds on the companion Process Design Document (PDD) for the RM Report Reconciliation process. Objective: define the automation approach, the to-be flow, its limitations, and the module breakdown needed to build it.</w:t>
      </w:r>
    </w:p>
    <w:p>
      <w:pPr>
        <w:pStyle w:val="Heading1"/>
        <w:spacing w:after="150" w:before="300"/>
      </w:pPr>
      <w:r>
        <w:t xml:space="preserve">2. Recommended Approach</w:t>
      </w:r>
    </w:p>
    <w:p>
      <w:pPr>
        <w:spacing w:after="180"/>
      </w:pPr>
      <w:r>
        <w:rPr>
          <w:b/>
          <w:bCs/>
        </w:rPr>
        <w:t xml:space="preserve">Recommended approach: </w:t>
      </w:r>
      <w:r>
        <w:rPr>
          <w:b/>
          <w:bCs/>
          <w:color w:val="1F4E79"/>
          <w:sz w:val="28"/>
          <w:szCs w:val="28"/>
        </w:rPr>
        <w:t xml:space="preserve">Pure RPA</w:t>
      </w:r>
    </w:p>
    <w:p>
      <w:pPr>
        <w:spacing w:after="120"/>
      </w:pPr>
      <w:r>
        <w:rPr>
          <w:b w:val="false"/>
          <w:bCs w:val="false"/>
          <w:i w:val="false"/>
          <w:iCs w:val="false"/>
        </w:rPr>
        <w:t xml:space="preserve">Driving evidence: PDD Section 8 rated every step in the process — Steps 1–2, 3–4, 5–6, 6a–6b, 6d, 7, 8, and 9a–9b — as a strong, rules-based automation candidate. No step requires interpreting unstructured data, exercising judgment, or generating content.</w:t>
      </w:r>
    </w:p>
    <w:p>
      <w:pPr>
        <w:pStyle w:val="Heading2"/>
        <w:spacing w:after="120" w:before="240"/>
      </w:pPr>
      <w:r>
        <w:t xml:space="preserve">AI-needing criteria checked (none applied)</w:t>
      </w:r>
    </w:p>
    <w:p>
      <w:pPr>
        <w:pStyle w:val="ListParagraph"/>
        <w:numPr>
          <w:ilvl w:val="0"/>
          <w:numId w:val="1"/>
        </w:numPr>
        <w:spacing w:after="60"/>
      </w:pPr>
      <w:r>
        <w:t xml:space="preserve">Req ID matching (Step 6) is an exact-match lookup against structured tracker data, not fuzzy matching or interpretation.</w:t>
      </w:r>
    </w:p>
    <w:p>
      <w:pPr>
        <w:pStyle w:val="ListParagraph"/>
        <w:numPr>
          <w:ilvl w:val="0"/>
          <w:numId w:val="1"/>
        </w:numPr>
        <w:spacing w:after="60"/>
      </w:pPr>
      <w:r>
        <w:t xml:space="preserve">The Step 8 field comparison is a deterministic value-to-value equality check across columns A–N — both sources (RM Report, Oracle B2C API) are structured.</w:t>
      </w:r>
    </w:p>
    <w:p>
      <w:pPr>
        <w:pStyle w:val="ListParagraph"/>
        <w:numPr>
          <w:ilvl w:val="0"/>
          <w:numId w:val="1"/>
        </w:numPr>
        <w:spacing w:after="60"/>
      </w:pPr>
      <w:r>
        <w:t xml:space="preserve">No step involves free text, scanned documents, images, or natural-language content anywhere in the flow.</w:t>
      </w:r>
    </w:p>
    <w:p>
      <w:pPr>
        <w:pStyle w:val="ListParagraph"/>
        <w:numPr>
          <w:ilvl w:val="0"/>
          <w:numId w:val="1"/>
        </w:numPr>
        <w:spacing w:after="60"/>
      </w:pPr>
      <w:r>
        <w:t xml:space="preserve">No step requires prediction, classification, or drafting — every outcome (Completed / Mismatch / Pending) follows directly from a fixed rule.</w:t>
      </w:r>
    </w:p>
    <w:p>
      <w:pPr>
        <w:spacing w:after="120"/>
      </w:pPr>
      <w:r>
        <w:rPr>
          <w:b w:val="false"/>
          <w:bCs w:val="false"/>
          <w:i/>
          <w:iCs/>
        </w:rPr>
        <w:t xml:space="preserve">Because none of the RPA+AI triggers apply anywhere in the process, this is confirmed as a Pure RPA solution.</w:t>
      </w:r>
    </w:p>
    <w:p>
      <w:pPr>
        <w:pStyle w:val="Heading1"/>
        <w:spacing w:after="150" w:before="300"/>
      </w:pPr>
      <w:r>
        <w:t xml:space="preserve">3. To-Be Process Narrative</w:t>
      </w:r>
    </w:p>
    <w:p>
      <w:pPr>
        <w:spacing w:after="120"/>
      </w:pPr>
      <w:r>
        <w:rPr>
          <w:b w:val="false"/>
          <w:bCs w:val="false"/>
          <w:i w:val="false"/>
          <w:iCs w:val="false"/>
        </w:rPr>
        <w:t xml:space="preserve">The source description already specifies this process as a Dispatcher/Performer RPA design, so the to-be flow is structurally the same as the as-is flow in the PDD — every step is marked [BOT]. The value of this SDD is in confirming build-readiness and defining module boundaries (Section 6), and in making the one implied manual step explicit (marked [MANUAL] below), even though it was not stated in the source description.</w:t>
      </w:r>
    </w:p>
    <w:p>
      <w:pPr>
        <w:pStyle w:val="ListParagraph"/>
        <w:numPr>
          <w:ilvl w:val="0"/>
          <w:numId w:val="1"/>
        </w:numPr>
        <w:spacing w:after="60"/>
      </w:pPr>
      <w:r>
        <w:t xml:space="preserve">[BOT] Step 1–2 — Log in to the RM Portal and download the RM Report. (PDD Steps 1–2)</w:t>
      </w:r>
    </w:p>
    <w:p>
      <w:pPr>
        <w:pStyle w:val="ListParagraph"/>
        <w:numPr>
          <w:ilvl w:val="0"/>
          <w:numId w:val="1"/>
        </w:numPr>
        <w:spacing w:after="60"/>
      </w:pPr>
      <w:r>
        <w:t xml:space="preserve">[BOT] Step 3–4 — Filter rows to Status = New and enqueue to the Orchestrator Queue. (PDD Steps 3–4)</w:t>
      </w:r>
    </w:p>
    <w:p>
      <w:pPr>
        <w:pStyle w:val="ListParagraph"/>
        <w:numPr>
          <w:ilvl w:val="0"/>
          <w:numId w:val="1"/>
        </w:numPr>
        <w:spacing w:after="60"/>
      </w:pPr>
      <w:r>
        <w:t xml:space="preserve">[BOT] Step 5–6 — Dequeue an item; check Req ID existence in the trackers. (PDD Steps 5–6)</w:t>
      </w:r>
    </w:p>
    <w:p>
      <w:pPr>
        <w:pStyle w:val="ListParagraph"/>
        <w:numPr>
          <w:ilvl w:val="0"/>
          <w:numId w:val="1"/>
        </w:numPr>
        <w:spacing w:after="60"/>
      </w:pPr>
      <w:r>
        <w:t xml:space="preserve">[BOT] Step 6a–6c — If found: read Productivity Tracker status, sync Master Tracker, end (skip). (PDD Steps 6a–6c)</w:t>
      </w:r>
    </w:p>
    <w:p>
      <w:pPr>
        <w:pStyle w:val="ListParagraph"/>
        <w:numPr>
          <w:ilvl w:val="0"/>
          <w:numId w:val="1"/>
        </w:numPr>
        <w:spacing w:after="60"/>
      </w:pPr>
      <w:r>
        <w:t xml:space="preserve">[BOT] Step 6d — If not found: write Status = Pending to both trackers. (PDD Step 6d)</w:t>
      </w:r>
    </w:p>
    <w:p>
      <w:pPr>
        <w:pStyle w:val="ListParagraph"/>
        <w:numPr>
          <w:ilvl w:val="0"/>
          <w:numId w:val="1"/>
        </w:numPr>
        <w:spacing w:after="60"/>
      </w:pPr>
      <w:r>
        <w:t xml:space="preserve">[BOT] Step 7–8 — Call the Oracle B2C API and compare columns A–N field-by-field. (PDD Steps 7–8)</w:t>
      </w:r>
    </w:p>
    <w:p>
      <w:pPr>
        <w:pStyle w:val="ListParagraph"/>
        <w:numPr>
          <w:ilvl w:val="0"/>
          <w:numId w:val="1"/>
        </w:numPr>
        <w:spacing w:after="60"/>
      </w:pPr>
      <w:r>
        <w:t xml:space="preserve">[BOT] Step 9a — If all fields match: set Completed and update both trackers. (PDD Step 9a)</w:t>
      </w:r>
    </w:p>
    <w:p>
      <w:pPr>
        <w:pStyle w:val="ListParagraph"/>
        <w:numPr>
          <w:ilvl w:val="0"/>
          <w:numId w:val="1"/>
        </w:numPr>
        <w:spacing w:after="60"/>
      </w:pPr>
      <w:r>
        <w:t xml:space="preserve">[BOT] Step 9b — If any field mismatches: set Mismatch and log the mismatched fields. (PDD Step 9b)</w:t>
      </w:r>
    </w:p>
    <w:p>
      <w:pPr>
        <w:pStyle w:val="ListParagraph"/>
        <w:numPr>
          <w:ilvl w:val="0"/>
          <w:numId w:val="1"/>
        </w:numPr>
        <w:spacing w:after="60"/>
      </w:pPr>
      <w:r>
        <w:t xml:space="preserve">[MANUAL] Step 10 (implied, not in source) — A human reviews items flagged Mismatch and resolves the underlying discrepancy. This step is outside the automation's scope; see Limitations.</w:t>
      </w:r>
    </w:p>
    <w:p>
      <w:pPr>
        <w:pStyle w:val="Heading1"/>
        <w:spacing w:after="150" w:before="300"/>
      </w:pPr>
      <w:r>
        <w:t xml:space="preserve">4. To-Be Flowchart</w:t>
      </w:r>
    </w:p>
    <w:p>
      <w:pPr>
        <w:pBdr>
          <w:top w:val="single" w:color="444444" w:sz="6"/>
          <w:bottom w:val="single" w:color="444444" w:sz="6"/>
          <w:left w:val="single" w:color="444444" w:sz="6"/>
          <w:right w:val="single" w:color="444444" w:sz="6"/>
        </w:pBdr>
        <w:shd w:fill="D9D9D9" w:val="clear"/>
        <w:spacing w:after="40" w:before="40" w:line="260"/>
        <w:jc w:val="center"/>
      </w:pPr>
      <w:r>
        <w:rPr>
          <w:b w:val="false"/>
          <w:bCs w:val="false"/>
        </w:rPr>
        <w:t xml:space="preserve">START: Scheduled/triggered run begins</w:t>
      </w:r>
    </w:p>
    <w:p>
      <w:pPr>
        <w:spacing w:after="20" w:before="20"/>
        <w:jc w:val="center"/>
      </w:pPr>
      <w:r>
        <w:rPr>
          <w:color w:val="444444"/>
        </w:rPr>
        <w:t xml:space="preserv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1–2. </w:t>
      </w:r>
      <w:r>
        <w:rPr>
          <w:b w:val="false"/>
          <w:bCs w:val="false"/>
        </w:rPr>
        <w:t xml:space="preserve">[BOT] Log in to RM Portal &amp; download RM Report</w:t>
      </w:r>
    </w:p>
    <w:p>
      <w:pPr>
        <w:spacing w:after="20" w:before="20"/>
        <w:jc w:val="center"/>
      </w:pPr>
      <w:r>
        <w:rPr>
          <w:color w:val="444444"/>
        </w:rPr>
        <w:t xml:space="preserv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3–4. </w:t>
      </w:r>
      <w:r>
        <w:rPr>
          <w:b w:val="false"/>
          <w:bCs w:val="false"/>
        </w:rPr>
        <w:t xml:space="preserve">[BOT] Dispatcher: Filter Status = New; enqueue to Orchestrator Queue</w:t>
      </w:r>
    </w:p>
    <w:p>
      <w:pPr>
        <w:spacing w:after="20" w:before="20"/>
        <w:jc w:val="center"/>
      </w:pPr>
      <w:r>
        <w:rPr>
          <w:color w:val="444444"/>
        </w:rPr>
        <w:t xml:space="preserv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5. </w:t>
      </w:r>
      <w:r>
        <w:rPr>
          <w:b w:val="false"/>
          <w:bCs w:val="false"/>
        </w:rPr>
        <w:t xml:space="preserve">[BOT] Performer: Dequeue next item</w:t>
      </w:r>
    </w:p>
    <w:p>
      <w:pPr>
        <w:spacing w:after="20" w:before="20"/>
        <w:jc w:val="center"/>
      </w:pPr>
      <w:r>
        <w:rPr>
          <w:color w:val="444444"/>
        </w:rPr>
        <w:t xml:space="preserv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6. </w:t>
      </w:r>
      <w:r>
        <w:rPr>
          <w:b/>
          <w:bCs/>
        </w:rPr>
        <w:t xml:space="preserve">IF Req ID exists in Productivity Tracker or Master Tracker?</w:t>
      </w:r>
    </w:p>
    <w:p>
      <w:pPr>
        <w:spacing w:after="20" w:before="60"/>
        <w:ind w:left="360"/>
      </w:pPr>
      <w:r>
        <w:rPr>
          <w:b/>
          <w:bCs/>
          <w:color w:val="833C00"/>
        </w:rPr>
        <w:t xml:space="preserve">→ Yes:</w:t>
      </w:r>
    </w:p>
    <w:p>
      <w:pPr>
        <w:pBdr>
          <w:top w:val="single" w:color="444444" w:sz="6"/>
          <w:bottom w:val="single" w:color="444444" w:sz="6"/>
          <w:left w:val="single" w:color="444444" w:sz="6"/>
          <w:right w:val="single" w:color="444444" w:sz="6"/>
        </w:pBdr>
        <w:spacing w:after="40" w:before="40" w:line="260"/>
        <w:ind w:left="500" w:right="500"/>
        <w:jc w:val="center"/>
      </w:pPr>
      <w:r>
        <w:rPr>
          <w:b/>
          <w:bCs/>
          <w:color w:val="1F4E79"/>
        </w:rPr>
        <w:t xml:space="preserve">6a–6b. </w:t>
      </w:r>
      <w:r>
        <w:rPr>
          <w:b w:val="false"/>
          <w:bCs w:val="false"/>
        </w:rPr>
        <w:t xml:space="preserve">[BOT] Read Productivity Tracker status; sync Master Tracker</w:t>
      </w:r>
    </w:p>
    <w:p>
      <w:pPr>
        <w:spacing w:after="20" w:before="20"/>
        <w:ind w:left="500" w:right="500"/>
        <w:jc w:val="center"/>
      </w:pPr>
      <w:r>
        <w:rPr>
          <w:color w:val="444444"/>
        </w:rPr>
        <w:t xml:space="preserve">↓</w:t>
      </w:r>
    </w:p>
    <w:p>
      <w:pPr>
        <w:pBdr>
          <w:top w:val="single" w:color="444444" w:sz="6"/>
          <w:bottom w:val="single" w:color="444444" w:sz="6"/>
          <w:left w:val="single" w:color="444444" w:sz="6"/>
          <w:right w:val="single" w:color="444444" w:sz="6"/>
        </w:pBdr>
        <w:shd w:fill="D9D9D9" w:val="clear"/>
        <w:spacing w:after="40" w:before="40" w:line="260"/>
        <w:ind w:left="500" w:right="500"/>
        <w:jc w:val="center"/>
      </w:pPr>
      <w:r>
        <w:rPr>
          <w:b w:val="false"/>
          <w:bCs w:val="false"/>
        </w:rPr>
        <w:t xml:space="preserve">END: Item skipped (already tracked)</w:t>
      </w:r>
    </w:p>
    <w:p>
      <w:pPr>
        <w:spacing w:after="20" w:before="60"/>
        <w:ind w:left="360"/>
      </w:pPr>
      <w:r>
        <w:rPr>
          <w:b/>
          <w:bCs/>
          <w:color w:val="833C00"/>
        </w:rPr>
        <w:t xml:space="preserve">→ No:</w:t>
      </w:r>
    </w:p>
    <w:p>
      <w:pPr>
        <w:pBdr>
          <w:top w:val="single" w:color="444444" w:sz="6"/>
          <w:bottom w:val="single" w:color="444444" w:sz="6"/>
          <w:left w:val="single" w:color="444444" w:sz="6"/>
          <w:right w:val="single" w:color="444444" w:sz="6"/>
        </w:pBdr>
        <w:spacing w:after="40" w:before="40" w:line="260"/>
        <w:ind w:left="500" w:right="500"/>
        <w:jc w:val="center"/>
      </w:pPr>
      <w:r>
        <w:rPr>
          <w:b/>
          <w:bCs/>
          <w:color w:val="1F4E79"/>
        </w:rPr>
        <w:t xml:space="preserve">6d. </w:t>
      </w:r>
      <w:r>
        <w:rPr>
          <w:b w:val="false"/>
          <w:bCs w:val="false"/>
        </w:rPr>
        <w:t xml:space="preserve">[BOT] Write Status = Pending to both trackers</w:t>
      </w:r>
    </w:p>
    <w:p>
      <w:pPr>
        <w:spacing w:after="20" w:before="20"/>
        <w:jc w:val="center"/>
      </w:pPr>
      <w:r>
        <w:rPr>
          <w:color w:val="444444"/>
        </w:rPr>
        <w:t xml:space="preserve">↓ continue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7–8. </w:t>
      </w:r>
      <w:r>
        <w:rPr>
          <w:b w:val="false"/>
          <w:bCs w:val="false"/>
        </w:rPr>
        <w:t xml:space="preserve">[BOT] Call Oracle B2C API; compare columns A–N field-by-field</w:t>
      </w:r>
    </w:p>
    <w:p>
      <w:pPr>
        <w:spacing w:after="20" w:before="20"/>
        <w:jc w:val="center"/>
      </w:pPr>
      <w:r>
        <w:rPr>
          <w:color w:val="444444"/>
        </w:rPr>
        <w:t xml:space="preserve">↓</w:t>
      </w:r>
    </w:p>
    <w:p>
      <w:pPr>
        <w:pBdr>
          <w:top w:val="single" w:color="444444" w:sz="6"/>
          <w:bottom w:val="single" w:color="444444" w:sz="6"/>
          <w:left w:val="single" w:color="444444" w:sz="6"/>
          <w:right w:val="single" w:color="444444" w:sz="6"/>
        </w:pBdr>
        <w:spacing w:after="40" w:before="40" w:line="260"/>
        <w:jc w:val="center"/>
      </w:pPr>
      <w:r>
        <w:rPr>
          <w:b/>
          <w:bCs/>
          <w:color w:val="1F4E79"/>
        </w:rPr>
        <w:t xml:space="preserve">9. </w:t>
      </w:r>
      <w:r>
        <w:rPr>
          <w:b/>
          <w:bCs/>
        </w:rPr>
        <w:t xml:space="preserve">IF all compared fields match?</w:t>
      </w:r>
    </w:p>
    <w:p>
      <w:pPr>
        <w:spacing w:after="20" w:before="60"/>
        <w:ind w:left="360"/>
      </w:pPr>
      <w:r>
        <w:rPr>
          <w:b/>
          <w:bCs/>
          <w:color w:val="833C00"/>
        </w:rPr>
        <w:t xml:space="preserve">→ Yes:</w:t>
      </w:r>
    </w:p>
    <w:p>
      <w:pPr>
        <w:pBdr>
          <w:top w:val="single" w:color="444444" w:sz="6"/>
          <w:bottom w:val="single" w:color="444444" w:sz="6"/>
          <w:left w:val="single" w:color="444444" w:sz="6"/>
          <w:right w:val="single" w:color="444444" w:sz="6"/>
        </w:pBdr>
        <w:spacing w:after="40" w:before="40" w:line="260"/>
        <w:ind w:left="500" w:right="500"/>
        <w:jc w:val="center"/>
      </w:pPr>
      <w:r>
        <w:rPr>
          <w:b/>
          <w:bCs/>
          <w:color w:val="1F4E79"/>
        </w:rPr>
        <w:t xml:space="preserve">9a. </w:t>
      </w:r>
      <w:r>
        <w:rPr>
          <w:b w:val="false"/>
          <w:bCs w:val="false"/>
        </w:rPr>
        <w:t xml:space="preserve">[BOT] Set Completed; update both trackers</w:t>
      </w:r>
    </w:p>
    <w:p>
      <w:pPr>
        <w:spacing w:after="20" w:before="20"/>
        <w:ind w:left="500" w:right="500"/>
        <w:jc w:val="center"/>
      </w:pPr>
      <w:r>
        <w:rPr>
          <w:color w:val="444444"/>
        </w:rPr>
        <w:t xml:space="preserve">↓</w:t>
      </w:r>
    </w:p>
    <w:p>
      <w:pPr>
        <w:pBdr>
          <w:top w:val="single" w:color="444444" w:sz="6"/>
          <w:bottom w:val="single" w:color="444444" w:sz="6"/>
          <w:left w:val="single" w:color="444444" w:sz="6"/>
          <w:right w:val="single" w:color="444444" w:sz="6"/>
        </w:pBdr>
        <w:shd w:fill="D9D9D9" w:val="clear"/>
        <w:spacing w:after="40" w:before="40" w:line="260"/>
        <w:ind w:left="500" w:right="500"/>
        <w:jc w:val="center"/>
      </w:pPr>
      <w:r>
        <w:rPr>
          <w:b w:val="false"/>
          <w:bCs w:val="false"/>
        </w:rPr>
        <w:t xml:space="preserve">END: Reconciliation complete</w:t>
      </w:r>
    </w:p>
    <w:p>
      <w:pPr>
        <w:spacing w:after="20" w:before="60"/>
        <w:ind w:left="360"/>
      </w:pPr>
      <w:r>
        <w:rPr>
          <w:b/>
          <w:bCs/>
          <w:color w:val="833C00"/>
        </w:rPr>
        <w:t xml:space="preserve">→ No:</w:t>
      </w:r>
    </w:p>
    <w:p>
      <w:pPr>
        <w:pBdr>
          <w:top w:val="single" w:color="444444" w:sz="6"/>
          <w:bottom w:val="single" w:color="444444" w:sz="6"/>
          <w:left w:val="single" w:color="444444" w:sz="6"/>
          <w:right w:val="single" w:color="444444" w:sz="6"/>
        </w:pBdr>
        <w:spacing w:after="40" w:before="40" w:line="260"/>
        <w:ind w:left="500" w:right="500"/>
        <w:jc w:val="center"/>
      </w:pPr>
      <w:r>
        <w:rPr>
          <w:b/>
          <w:bCs/>
          <w:color w:val="1F4E79"/>
        </w:rPr>
        <w:t xml:space="preserve">9b. </w:t>
      </w:r>
      <w:r>
        <w:rPr>
          <w:b w:val="false"/>
          <w:bCs w:val="false"/>
        </w:rPr>
        <w:t xml:space="preserve">[BOT] Set Mismatch; log mismatched fields to Mismatch Column in both trackers</w:t>
      </w:r>
    </w:p>
    <w:p>
      <w:pPr>
        <w:spacing w:after="20" w:before="20"/>
        <w:ind w:left="500" w:right="500"/>
        <w:jc w:val="center"/>
      </w:pPr>
      <w:r>
        <w:rPr>
          <w:color w:val="444444"/>
        </w:rPr>
        <w:t xml:space="preserve">↓ exception</w:t>
      </w:r>
    </w:p>
    <w:p>
      <w:pPr>
        <w:pBdr>
          <w:top w:val="single" w:color="444444" w:sz="6"/>
          <w:bottom w:val="single" w:color="444444" w:sz="6"/>
          <w:left w:val="single" w:color="444444" w:sz="6"/>
          <w:right w:val="single" w:color="444444" w:sz="6"/>
        </w:pBdr>
        <w:shd w:fill="D9D9D9" w:val="clear"/>
        <w:spacing w:after="40" w:before="40" w:line="260"/>
        <w:ind w:left="500" w:right="500"/>
        <w:jc w:val="center"/>
      </w:pPr>
      <w:r>
        <w:rPr>
          <w:b w:val="false"/>
          <w:bCs w:val="false"/>
        </w:rPr>
        <w:t xml:space="preserve">[MANUAL] Human reviews and resolves the flagged mismatch</w:t>
      </w:r>
    </w:p>
    <w:p>
      <w:pPr>
        <w:pStyle w:val="Heading1"/>
        <w:spacing w:after="150" w:before="300"/>
      </w:pPr>
      <w:r>
        <w:t xml:space="preserve">5. Limitations</w:t>
      </w:r>
    </w:p>
    <w:p>
      <w:pPr>
        <w:pStyle w:val="ListParagraph"/>
        <w:numPr>
          <w:ilvl w:val="0"/>
          <w:numId w:val="1"/>
        </w:numPr>
        <w:spacing w:after="60"/>
      </w:pPr>
      <w:r>
        <w:t xml:space="preserve">Portal fragility: login/navigation (Steps 1–2) will halt on portal UI changes, session timeouts, or login failures. The bot does not self-heal from these — it needs monitoring and alerting, and a human to intervene.</w:t>
      </w:r>
    </w:p>
    <w:p>
      <w:pPr>
        <w:pStyle w:val="ListParagraph"/>
        <w:numPr>
          <w:ilvl w:val="0"/>
          <w:numId w:val="1"/>
        </w:numPr>
        <w:spacing w:after="60"/>
      </w:pPr>
      <w:r>
        <w:t xml:space="preserve">Schema dependency: the field-by-field comparison (Step 8) assumes columns A–N are named and ordered identically between the RM Report and the Oracle B2C API response. Any drift in either schema will break the comparison logic.</w:t>
      </w:r>
    </w:p>
    <w:p>
      <w:pPr>
        <w:pStyle w:val="ListParagraph"/>
        <w:numPr>
          <w:ilvl w:val="0"/>
          <w:numId w:val="1"/>
        </w:numPr>
        <w:spacing w:after="60"/>
      </w:pPr>
      <w:r>
        <w:t xml:space="preserve">Mismatch resolution is out of scope: the automation detects and logs mismatches (Step 9b) but does not investigate or fix them — resolution remains a manual step (Section 3, Step 10) not defined in the source description.</w:t>
      </w:r>
    </w:p>
    <w:p>
      <w:pPr>
        <w:pStyle w:val="ListParagraph"/>
        <w:numPr>
          <w:ilvl w:val="0"/>
          <w:numId w:val="1"/>
        </w:numPr>
        <w:spacing w:after="60"/>
      </w:pPr>
      <w:r>
        <w:t xml:space="preserve">Pre-existing tracker assumption: the design assumes the Productivity Tracker and Master Tracker already exist with a compatible schema, including a Mismatch Column in each. Schema must be confirmed/prepared before build.</w:t>
      </w:r>
    </w:p>
    <w:p>
      <w:pPr>
        <w:pStyle w:val="ListParagraph"/>
        <w:numPr>
          <w:ilvl w:val="0"/>
          <w:numId w:val="1"/>
        </w:numPr>
        <w:spacing w:after="60"/>
      </w:pPr>
      <w:r>
        <w:t xml:space="preserve">Tracker disagreement not covered: the source description does not specify what should happen if the Productivity Tracker and Master Tracker already disagree with each other before reconciliation runs (Step 6). This edge case should be clarified before build.</w:t>
      </w:r>
    </w:p>
    <w:p>
      <w:pPr>
        <w:pStyle w:val="ListParagraph"/>
        <w:numPr>
          <w:ilvl w:val="0"/>
          <w:numId w:val="1"/>
        </w:numPr>
        <w:spacing w:after="60"/>
      </w:pPr>
      <w:r>
        <w:t xml:space="preserve">Volume/throughput unknown: no run frequency or per-run row volume was provided (PDD Section 6); Orchestrator Queue sizing and expected runtime should be validated once this is known.</w:t>
      </w:r>
    </w:p>
    <w:p>
      <w:pPr>
        <w:pStyle w:val="ListParagraph"/>
        <w:numPr>
          <w:ilvl w:val="0"/>
          <w:numId w:val="1"/>
        </w:numPr>
        <w:spacing w:after="60"/>
      </w:pPr>
      <w:r>
        <w:t xml:space="preserve">API dependency: reconciliation accuracy and completion depend entirely on Oracle B2C API availability and correctness (Step 7). API downtime or rate-limiting will stall the Performer.</w:t>
      </w:r>
    </w:p>
    <w:p>
      <w:pPr>
        <w:pStyle w:val="Heading1"/>
        <w:spacing w:after="150" w:before="300"/>
      </w:pPr>
      <w:r>
        <w:t xml:space="preserve">6. Module Breakdown (for Development)</w:t>
      </w:r>
    </w:p>
    <w:p>
      <w:pPr>
        <w:spacing w:after="120"/>
      </w:pPr>
      <w:r>
        <w:rPr>
          <w:b w:val="false"/>
          <w:bCs w:val="false"/>
          <w:i w:val="false"/>
          <w:iCs w:val="false"/>
        </w:rPr>
        <w:t xml:space="preserve">This is a Pure RPA solution, so no separate AI/ML module is required. Modules are split so that different developers can build and test each independently against a defined input/output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500"/>
        <w:gridCol w:w="1300"/>
        <w:gridCol w:w="1160"/>
      </w:tblGrid>
      <w:tr>
        <w:trPr>
          <w:tblHeader/>
        </w:trPr>
        <w:tc>
          <w:tcPr>
            <w:tcW w:type="dxa" w:w="1500"/>
            <w:shd w:fill="1F4E79" w:val="clear"/>
            <w:tcMar>
              <w:top w:type="dxa" w:w="60"/>
              <w:left w:type="dxa" w:w="100"/>
              <w:bottom w:type="dxa" w:w="60"/>
              <w:right w:type="dxa" w:w="100"/>
            </w:tcMar>
            <w:vAlign w:val="center"/>
          </w:tcPr>
          <w:p>
            <w:r>
              <w:rPr>
                <w:b/>
                <w:bCs/>
                <w:color w:val="FFFFFF"/>
              </w:rPr>
              <w:t xml:space="preserve">Module</w:t>
            </w:r>
          </w:p>
        </w:tc>
        <w:tc>
          <w:tcPr>
            <w:tcW w:type="dxa" w:w="1500"/>
            <w:shd w:fill="1F4E79" w:val="clear"/>
            <w:tcMar>
              <w:top w:type="dxa" w:w="60"/>
              <w:left w:type="dxa" w:w="100"/>
              <w:bottom w:type="dxa" w:w="60"/>
              <w:right w:type="dxa" w:w="100"/>
            </w:tcMar>
            <w:vAlign w:val="center"/>
          </w:tcPr>
          <w:p>
            <w:r>
              <w:rPr>
                <w:b/>
                <w:bCs/>
                <w:color w:val="FFFFFF"/>
              </w:rPr>
              <w:t xml:space="preserve">Responsibility</w:t>
            </w:r>
          </w:p>
        </w:tc>
        <w:tc>
          <w:tcPr>
            <w:tcW w:type="dxa" w:w="1500"/>
            <w:shd w:fill="1F4E79" w:val="clear"/>
            <w:tcMar>
              <w:top w:type="dxa" w:w="60"/>
              <w:left w:type="dxa" w:w="100"/>
              <w:bottom w:type="dxa" w:w="60"/>
              <w:right w:type="dxa" w:w="100"/>
            </w:tcMar>
            <w:vAlign w:val="center"/>
          </w:tcPr>
          <w:p>
            <w:r>
              <w:rPr>
                <w:b/>
                <w:bCs/>
                <w:color w:val="FFFFFF"/>
              </w:rPr>
              <w:t xml:space="preserve">Inputs</w:t>
            </w:r>
          </w:p>
        </w:tc>
        <w:tc>
          <w:tcPr>
            <w:tcW w:type="dxa" w:w="1500"/>
            <w:shd w:fill="1F4E79" w:val="clear"/>
            <w:tcMar>
              <w:top w:type="dxa" w:w="60"/>
              <w:left w:type="dxa" w:w="100"/>
              <w:bottom w:type="dxa" w:w="60"/>
              <w:right w:type="dxa" w:w="100"/>
            </w:tcMar>
            <w:vAlign w:val="center"/>
          </w:tcPr>
          <w:p>
            <w:r>
              <w:rPr>
                <w:b/>
                <w:bCs/>
                <w:color w:val="FFFFFF"/>
              </w:rPr>
              <w:t xml:space="preserve">Outputs</w:t>
            </w:r>
          </w:p>
        </w:tc>
        <w:tc>
          <w:tcPr>
            <w:tcW w:type="dxa" w:w="1500"/>
            <w:shd w:fill="1F4E79" w:val="clear"/>
            <w:tcMar>
              <w:top w:type="dxa" w:w="60"/>
              <w:left w:type="dxa" w:w="100"/>
              <w:bottom w:type="dxa" w:w="60"/>
              <w:right w:type="dxa" w:w="100"/>
            </w:tcMar>
            <w:vAlign w:val="center"/>
          </w:tcPr>
          <w:p>
            <w:r>
              <w:rPr>
                <w:b/>
                <w:bCs/>
                <w:color w:val="FFFFFF"/>
              </w:rPr>
              <w:t xml:space="preserve">Depends on</w:t>
            </w:r>
          </w:p>
        </w:tc>
        <w:tc>
          <w:tcPr>
            <w:tcW w:type="dxa" w:w="1500"/>
            <w:shd w:fill="1F4E79" w:val="clear"/>
            <w:tcMar>
              <w:top w:type="dxa" w:w="60"/>
              <w:left w:type="dxa" w:w="100"/>
              <w:bottom w:type="dxa" w:w="60"/>
              <w:right w:type="dxa" w:w="100"/>
            </w:tcMar>
            <w:vAlign w:val="center"/>
          </w:tcPr>
          <w:p>
            <w:r>
              <w:rPr>
                <w:b/>
                <w:bCs/>
                <w:color w:val="FFFFFF"/>
              </w:rPr>
              <w:t xml:space="preserve">Complexity</w:t>
            </w:r>
          </w:p>
        </w:tc>
      </w:tr>
      <w:tr>
        <w:tc>
          <w:tcPr>
            <w:tcW w:type="dxa" w:w="1500"/>
            <w:tcMar>
              <w:top w:type="dxa" w:w="60"/>
              <w:left w:type="dxa" w:w="100"/>
              <w:bottom w:type="dxa" w:w="60"/>
              <w:right w:type="dxa" w:w="100"/>
            </w:tcMar>
            <w:vAlign w:val="center"/>
          </w:tcPr>
          <w:p>
            <w:r>
              <w:rPr>
                <w:b w:val="false"/>
                <w:bCs w:val="false"/>
                <w:color w:val="000000"/>
              </w:rPr>
              <w:t xml:space="preserve">Portal Login &amp; Download</w:t>
            </w:r>
          </w:p>
        </w:tc>
        <w:tc>
          <w:tcPr>
            <w:tcW w:type="dxa" w:w="1500"/>
            <w:tcMar>
              <w:top w:type="dxa" w:w="60"/>
              <w:left w:type="dxa" w:w="100"/>
              <w:bottom w:type="dxa" w:w="60"/>
              <w:right w:type="dxa" w:w="100"/>
            </w:tcMar>
            <w:vAlign w:val="center"/>
          </w:tcPr>
          <w:p>
            <w:r>
              <w:rPr>
                <w:b w:val="false"/>
                <w:bCs w:val="false"/>
                <w:color w:val="000000"/>
              </w:rPr>
              <w:t xml:space="preserve">Authenticate to the RM Portal, navigate to the report, and download the RM Report file.</w:t>
            </w:r>
          </w:p>
        </w:tc>
        <w:tc>
          <w:tcPr>
            <w:tcW w:type="dxa" w:w="1500"/>
            <w:tcMar>
              <w:top w:type="dxa" w:w="60"/>
              <w:left w:type="dxa" w:w="100"/>
              <w:bottom w:type="dxa" w:w="60"/>
              <w:right w:type="dxa" w:w="100"/>
            </w:tcMar>
            <w:vAlign w:val="center"/>
          </w:tcPr>
          <w:p>
            <w:r>
              <w:rPr>
                <w:b w:val="false"/>
                <w:bCs w:val="false"/>
                <w:color w:val="000000"/>
              </w:rPr>
              <w:t xml:space="preserve">Portal credentials; report location/path</w:t>
            </w:r>
          </w:p>
        </w:tc>
        <w:tc>
          <w:tcPr>
            <w:tcW w:type="dxa" w:w="1500"/>
            <w:tcMar>
              <w:top w:type="dxa" w:w="60"/>
              <w:left w:type="dxa" w:w="100"/>
              <w:bottom w:type="dxa" w:w="60"/>
              <w:right w:type="dxa" w:w="100"/>
            </w:tcMar>
            <w:vAlign w:val="center"/>
          </w:tcPr>
          <w:p>
            <w:r>
              <w:rPr>
                <w:b w:val="false"/>
                <w:bCs w:val="false"/>
                <w:color w:val="000000"/>
              </w:rPr>
              <w:t xml:space="preserve">Raw RM Report file</w:t>
            </w:r>
          </w:p>
        </w:tc>
        <w:tc>
          <w:tcPr>
            <w:tcW w:type="dxa" w:w="1500"/>
            <w:tcMar>
              <w:top w:type="dxa" w:w="60"/>
              <w:left w:type="dxa" w:w="100"/>
              <w:bottom w:type="dxa" w:w="60"/>
              <w:right w:type="dxa" w:w="100"/>
            </w:tcMar>
            <w:vAlign w:val="center"/>
          </w:tcPr>
          <w:p>
            <w:r>
              <w:rPr>
                <w:b w:val="false"/>
                <w:bCs w:val="false"/>
                <w:color w:val="000000"/>
              </w:rPr>
              <w:t xml:space="preserve">None</w:t>
            </w:r>
          </w:p>
        </w:tc>
        <w:tc>
          <w:tcPr>
            <w:tcW w:type="dxa" w:w="1500"/>
            <w:tcMar>
              <w:top w:type="dxa" w:w="60"/>
              <w:left w:type="dxa" w:w="100"/>
              <w:bottom w:type="dxa" w:w="60"/>
              <w:right w:type="dxa" w:w="100"/>
            </w:tcMar>
            <w:vAlign w:val="center"/>
          </w:tcPr>
          <w:p>
            <w:r>
              <w:rPr>
                <w:b w:val="false"/>
                <w:bCs w:val="false"/>
                <w:color w:val="000000"/>
              </w:rPr>
              <w:t xml:space="preserve">Medium (UI-dependent)</w:t>
            </w:r>
          </w:p>
        </w:tc>
      </w:tr>
      <w:tr>
        <w:tc>
          <w:tcPr>
            <w:tcW w:type="dxa" w:w="1500"/>
            <w:tcMar>
              <w:top w:type="dxa" w:w="60"/>
              <w:left w:type="dxa" w:w="100"/>
              <w:bottom w:type="dxa" w:w="60"/>
              <w:right w:type="dxa" w:w="100"/>
            </w:tcMar>
            <w:vAlign w:val="center"/>
          </w:tcPr>
          <w:p>
            <w:r>
              <w:rPr>
                <w:b w:val="false"/>
                <w:bCs w:val="false"/>
                <w:color w:val="000000"/>
              </w:rPr>
              <w:t xml:space="preserve">Dispatcher: Filter &amp; Enqueue</w:t>
            </w:r>
          </w:p>
        </w:tc>
        <w:tc>
          <w:tcPr>
            <w:tcW w:type="dxa" w:w="1500"/>
            <w:tcMar>
              <w:top w:type="dxa" w:w="60"/>
              <w:left w:type="dxa" w:w="100"/>
              <w:bottom w:type="dxa" w:w="60"/>
              <w:right w:type="dxa" w:w="100"/>
            </w:tcMar>
            <w:vAlign w:val="center"/>
          </w:tcPr>
          <w:p>
            <w:r>
              <w:rPr>
                <w:b w:val="false"/>
                <w:bCs w:val="false"/>
                <w:color w:val="000000"/>
              </w:rPr>
              <w:t xml:space="preserve">Filter report rows to Status = New; extract columns A–N + Req ID; enqueue one item per row.</w:t>
            </w:r>
          </w:p>
        </w:tc>
        <w:tc>
          <w:tcPr>
            <w:tcW w:type="dxa" w:w="1500"/>
            <w:tcMar>
              <w:top w:type="dxa" w:w="60"/>
              <w:left w:type="dxa" w:w="100"/>
              <w:bottom w:type="dxa" w:w="60"/>
              <w:right w:type="dxa" w:w="100"/>
            </w:tcMar>
            <w:vAlign w:val="center"/>
          </w:tcPr>
          <w:p>
            <w:r>
              <w:rPr>
                <w:b w:val="false"/>
                <w:bCs w:val="false"/>
                <w:color w:val="000000"/>
              </w:rPr>
              <w:t xml:space="preserve">Raw RM Report file</w:t>
            </w:r>
          </w:p>
        </w:tc>
        <w:tc>
          <w:tcPr>
            <w:tcW w:type="dxa" w:w="1500"/>
            <w:tcMar>
              <w:top w:type="dxa" w:w="60"/>
              <w:left w:type="dxa" w:w="100"/>
              <w:bottom w:type="dxa" w:w="60"/>
              <w:right w:type="dxa" w:w="100"/>
            </w:tcMar>
            <w:vAlign w:val="center"/>
          </w:tcPr>
          <w:p>
            <w:r>
              <w:rPr>
                <w:b w:val="false"/>
                <w:bCs w:val="false"/>
                <w:color w:val="000000"/>
              </w:rPr>
              <w:t xml:space="preserve">Orchestrator Queue items</w:t>
            </w:r>
          </w:p>
        </w:tc>
        <w:tc>
          <w:tcPr>
            <w:tcW w:type="dxa" w:w="1500"/>
            <w:tcMar>
              <w:top w:type="dxa" w:w="60"/>
              <w:left w:type="dxa" w:w="100"/>
              <w:bottom w:type="dxa" w:w="60"/>
              <w:right w:type="dxa" w:w="100"/>
            </w:tcMar>
            <w:vAlign w:val="center"/>
          </w:tcPr>
          <w:p>
            <w:r>
              <w:rPr>
                <w:b w:val="false"/>
                <w:bCs w:val="false"/>
                <w:color w:val="000000"/>
              </w:rPr>
              <w:t xml:space="preserve">Portal Login &amp; Download</w:t>
            </w:r>
          </w:p>
        </w:tc>
        <w:tc>
          <w:tcPr>
            <w:tcW w:type="dxa" w:w="1500"/>
            <w:tcMar>
              <w:top w:type="dxa" w:w="60"/>
              <w:left w:type="dxa" w:w="100"/>
              <w:bottom w:type="dxa" w:w="60"/>
              <w:right w:type="dxa" w:w="100"/>
            </w:tcMar>
            <w:vAlign w:val="center"/>
          </w:tcPr>
          <w:p>
            <w:r>
              <w:rPr>
                <w:b w:val="false"/>
                <w:bCs w:val="false"/>
                <w:color w:val="000000"/>
              </w:rPr>
              <w:t xml:space="preserve">Low</w:t>
            </w:r>
          </w:p>
        </w:tc>
      </w:tr>
      <w:tr>
        <w:tc>
          <w:tcPr>
            <w:tcW w:type="dxa" w:w="1500"/>
            <w:tcMar>
              <w:top w:type="dxa" w:w="60"/>
              <w:left w:type="dxa" w:w="100"/>
              <w:bottom w:type="dxa" w:w="60"/>
              <w:right w:type="dxa" w:w="100"/>
            </w:tcMar>
            <w:vAlign w:val="center"/>
          </w:tcPr>
          <w:p>
            <w:r>
              <w:rPr>
                <w:b w:val="false"/>
                <w:bCs w:val="false"/>
                <w:color w:val="000000"/>
              </w:rPr>
              <w:t xml:space="preserve">Tracker Lookup &amp; Sync</w:t>
            </w:r>
          </w:p>
        </w:tc>
        <w:tc>
          <w:tcPr>
            <w:tcW w:type="dxa" w:w="1500"/>
            <w:tcMar>
              <w:top w:type="dxa" w:w="60"/>
              <w:left w:type="dxa" w:w="100"/>
              <w:bottom w:type="dxa" w:w="60"/>
              <w:right w:type="dxa" w:w="100"/>
            </w:tcMar>
            <w:vAlign w:val="center"/>
          </w:tcPr>
          <w:p>
            <w:r>
              <w:rPr>
                <w:b w:val="false"/>
                <w:bCs w:val="false"/>
                <w:color w:val="000000"/>
              </w:rPr>
              <w:t xml:space="preserve">Check whether a Req ID exists in either tracker; if so, read Productivity status and sync Master Tracker.</w:t>
            </w:r>
          </w:p>
        </w:tc>
        <w:tc>
          <w:tcPr>
            <w:tcW w:type="dxa" w:w="1500"/>
            <w:tcMar>
              <w:top w:type="dxa" w:w="60"/>
              <w:left w:type="dxa" w:w="100"/>
              <w:bottom w:type="dxa" w:w="60"/>
              <w:right w:type="dxa" w:w="100"/>
            </w:tcMar>
            <w:vAlign w:val="center"/>
          </w:tcPr>
          <w:p>
            <w:r>
              <w:rPr>
                <w:b w:val="false"/>
                <w:bCs w:val="false"/>
                <w:color w:val="000000"/>
              </w:rPr>
              <w:t xml:space="preserve">Queue item (Req ID); tracker data</w:t>
            </w:r>
          </w:p>
        </w:tc>
        <w:tc>
          <w:tcPr>
            <w:tcW w:type="dxa" w:w="1500"/>
            <w:tcMar>
              <w:top w:type="dxa" w:w="60"/>
              <w:left w:type="dxa" w:w="100"/>
              <w:bottom w:type="dxa" w:w="60"/>
              <w:right w:type="dxa" w:w="100"/>
            </w:tcMar>
            <w:vAlign w:val="center"/>
          </w:tcPr>
          <w:p>
            <w:r>
              <w:rPr>
                <w:b w:val="false"/>
                <w:bCs w:val="false"/>
                <w:color w:val="000000"/>
              </w:rPr>
              <w:t xml:space="preserve">Sync result (existing status, or 'not found')</w:t>
            </w:r>
          </w:p>
        </w:tc>
        <w:tc>
          <w:tcPr>
            <w:tcW w:type="dxa" w:w="1500"/>
            <w:tcMar>
              <w:top w:type="dxa" w:w="60"/>
              <w:left w:type="dxa" w:w="100"/>
              <w:bottom w:type="dxa" w:w="60"/>
              <w:right w:type="dxa" w:w="100"/>
            </w:tcMar>
            <w:vAlign w:val="center"/>
          </w:tcPr>
          <w:p>
            <w:r>
              <w:rPr>
                <w:b w:val="false"/>
                <w:bCs w:val="false"/>
                <w:color w:val="000000"/>
              </w:rPr>
              <w:t xml:space="preserve">Dispatcher: Filter &amp; Enqueue</w:t>
            </w:r>
          </w:p>
        </w:tc>
        <w:tc>
          <w:tcPr>
            <w:tcW w:type="dxa" w:w="1500"/>
            <w:tcMar>
              <w:top w:type="dxa" w:w="60"/>
              <w:left w:type="dxa" w:w="100"/>
              <w:bottom w:type="dxa" w:w="60"/>
              <w:right w:type="dxa" w:w="100"/>
            </w:tcMar>
            <w:vAlign w:val="center"/>
          </w:tcPr>
          <w:p>
            <w:r>
              <w:rPr>
                <w:b w:val="false"/>
                <w:bCs w:val="false"/>
                <w:color w:val="000000"/>
              </w:rPr>
              <w:t xml:space="preserve">Medium</w:t>
            </w:r>
          </w:p>
        </w:tc>
      </w:tr>
      <w:tr>
        <w:tc>
          <w:tcPr>
            <w:tcW w:type="dxa" w:w="1500"/>
            <w:tcMar>
              <w:top w:type="dxa" w:w="60"/>
              <w:left w:type="dxa" w:w="100"/>
              <w:bottom w:type="dxa" w:w="60"/>
              <w:right w:type="dxa" w:w="100"/>
            </w:tcMar>
            <w:vAlign w:val="center"/>
          </w:tcPr>
          <w:p>
            <w:r>
              <w:rPr>
                <w:b w:val="false"/>
                <w:bCs w:val="false"/>
                <w:color w:val="000000"/>
              </w:rPr>
              <w:t xml:space="preserve">Oracle B2C Integration</w:t>
            </w:r>
          </w:p>
        </w:tc>
        <w:tc>
          <w:tcPr>
            <w:tcW w:type="dxa" w:w="1500"/>
            <w:tcMar>
              <w:top w:type="dxa" w:w="60"/>
              <w:left w:type="dxa" w:w="100"/>
              <w:bottom w:type="dxa" w:w="60"/>
              <w:right w:type="dxa" w:w="100"/>
            </w:tcMar>
            <w:vAlign w:val="center"/>
          </w:tcPr>
          <w:p>
            <w:r>
              <w:rPr>
                <w:b w:val="false"/>
                <w:bCs w:val="false"/>
                <w:color w:val="000000"/>
              </w:rPr>
              <w:t xml:space="preserve">Call the Oracle B2C API for a given Req ID and return columns A–N.</w:t>
            </w:r>
          </w:p>
        </w:tc>
        <w:tc>
          <w:tcPr>
            <w:tcW w:type="dxa" w:w="1500"/>
            <w:tcMar>
              <w:top w:type="dxa" w:w="60"/>
              <w:left w:type="dxa" w:w="100"/>
              <w:bottom w:type="dxa" w:w="60"/>
              <w:right w:type="dxa" w:w="100"/>
            </w:tcMar>
            <w:vAlign w:val="center"/>
          </w:tcPr>
          <w:p>
            <w:r>
              <w:rPr>
                <w:b w:val="false"/>
                <w:bCs w:val="false"/>
                <w:color w:val="000000"/>
              </w:rPr>
              <w:t xml:space="preserve">Req ID</w:t>
            </w:r>
          </w:p>
        </w:tc>
        <w:tc>
          <w:tcPr>
            <w:tcW w:type="dxa" w:w="1500"/>
            <w:tcMar>
              <w:top w:type="dxa" w:w="60"/>
              <w:left w:type="dxa" w:w="100"/>
              <w:bottom w:type="dxa" w:w="60"/>
              <w:right w:type="dxa" w:w="100"/>
            </w:tcMar>
            <w:vAlign w:val="center"/>
          </w:tcPr>
          <w:p>
            <w:r>
              <w:rPr>
                <w:b w:val="false"/>
                <w:bCs w:val="false"/>
                <w:color w:val="000000"/>
              </w:rPr>
              <w:t xml:space="preserve">API response (columns A–N)</w:t>
            </w:r>
          </w:p>
        </w:tc>
        <w:tc>
          <w:tcPr>
            <w:tcW w:type="dxa" w:w="1500"/>
            <w:tcMar>
              <w:top w:type="dxa" w:w="60"/>
              <w:left w:type="dxa" w:w="100"/>
              <w:bottom w:type="dxa" w:w="60"/>
              <w:right w:type="dxa" w:w="100"/>
            </w:tcMar>
            <w:vAlign w:val="center"/>
          </w:tcPr>
          <w:p>
            <w:r>
              <w:rPr>
                <w:b w:val="false"/>
                <w:bCs w:val="false"/>
                <w:color w:val="000000"/>
              </w:rPr>
              <w:t xml:space="preserve">Tracker Lookup &amp; Sync (only when not found)</w:t>
            </w:r>
          </w:p>
        </w:tc>
        <w:tc>
          <w:tcPr>
            <w:tcW w:type="dxa" w:w="1500"/>
            <w:tcMar>
              <w:top w:type="dxa" w:w="60"/>
              <w:left w:type="dxa" w:w="100"/>
              <w:bottom w:type="dxa" w:w="60"/>
              <w:right w:type="dxa" w:w="100"/>
            </w:tcMar>
            <w:vAlign w:val="center"/>
          </w:tcPr>
          <w:p>
            <w:r>
              <w:rPr>
                <w:b w:val="false"/>
                <w:bCs w:val="false"/>
                <w:color w:val="000000"/>
              </w:rPr>
              <w:t xml:space="preserve">Medium (API contract/auth risk)</w:t>
            </w:r>
          </w:p>
        </w:tc>
      </w:tr>
      <w:tr>
        <w:tc>
          <w:tcPr>
            <w:tcW w:type="dxa" w:w="1500"/>
            <w:tcMar>
              <w:top w:type="dxa" w:w="60"/>
              <w:left w:type="dxa" w:w="100"/>
              <w:bottom w:type="dxa" w:w="60"/>
              <w:right w:type="dxa" w:w="100"/>
            </w:tcMar>
            <w:vAlign w:val="center"/>
          </w:tcPr>
          <w:p>
            <w:r>
              <w:rPr>
                <w:b w:val="false"/>
                <w:bCs w:val="false"/>
                <w:color w:val="000000"/>
              </w:rPr>
              <w:t xml:space="preserve">Field Comparison &amp; Status Engine</w:t>
            </w:r>
          </w:p>
        </w:tc>
        <w:tc>
          <w:tcPr>
            <w:tcW w:type="dxa" w:w="1500"/>
            <w:tcMar>
              <w:top w:type="dxa" w:w="60"/>
              <w:left w:type="dxa" w:w="100"/>
              <w:bottom w:type="dxa" w:w="60"/>
              <w:right w:type="dxa" w:w="100"/>
            </w:tcMar>
            <w:vAlign w:val="center"/>
          </w:tcPr>
          <w:p>
            <w:r>
              <w:rPr>
                <w:b w:val="false"/>
                <w:bCs w:val="false"/>
                <w:color w:val="000000"/>
              </w:rPr>
              <w:t xml:space="preserve">Compare report vs. API columns A–N field-by-field; determine Completed/Mismatch and list any mismatched fields.</w:t>
            </w:r>
          </w:p>
        </w:tc>
        <w:tc>
          <w:tcPr>
            <w:tcW w:type="dxa" w:w="1500"/>
            <w:tcMar>
              <w:top w:type="dxa" w:w="60"/>
              <w:left w:type="dxa" w:w="100"/>
              <w:bottom w:type="dxa" w:w="60"/>
              <w:right w:type="dxa" w:w="100"/>
            </w:tcMar>
            <w:vAlign w:val="center"/>
          </w:tcPr>
          <w:p>
            <w:r>
              <w:rPr>
                <w:b w:val="false"/>
                <w:bCs w:val="false"/>
                <w:color w:val="000000"/>
              </w:rPr>
              <w:t xml:space="preserve">Report row (A–N); API response (A–N)</w:t>
            </w:r>
          </w:p>
        </w:tc>
        <w:tc>
          <w:tcPr>
            <w:tcW w:type="dxa" w:w="1500"/>
            <w:tcMar>
              <w:top w:type="dxa" w:w="60"/>
              <w:left w:type="dxa" w:w="100"/>
              <w:bottom w:type="dxa" w:w="60"/>
              <w:right w:type="dxa" w:w="100"/>
            </w:tcMar>
            <w:vAlign w:val="center"/>
          </w:tcPr>
          <w:p>
            <w:r>
              <w:rPr>
                <w:b w:val="false"/>
                <w:bCs w:val="false"/>
                <w:color w:val="000000"/>
              </w:rPr>
              <w:t xml:space="preserve">Outcome status + mismatched field list</w:t>
            </w:r>
          </w:p>
        </w:tc>
        <w:tc>
          <w:tcPr>
            <w:tcW w:type="dxa" w:w="1500"/>
            <w:tcMar>
              <w:top w:type="dxa" w:w="60"/>
              <w:left w:type="dxa" w:w="100"/>
              <w:bottom w:type="dxa" w:w="60"/>
              <w:right w:type="dxa" w:w="100"/>
            </w:tcMar>
            <w:vAlign w:val="center"/>
          </w:tcPr>
          <w:p>
            <w:r>
              <w:rPr>
                <w:b w:val="false"/>
                <w:bCs w:val="false"/>
                <w:color w:val="000000"/>
              </w:rPr>
              <w:t xml:space="preserve">Oracle B2C Integration</w:t>
            </w:r>
          </w:p>
        </w:tc>
        <w:tc>
          <w:tcPr>
            <w:tcW w:type="dxa" w:w="1500"/>
            <w:tcMar>
              <w:top w:type="dxa" w:w="60"/>
              <w:left w:type="dxa" w:w="100"/>
              <w:bottom w:type="dxa" w:w="60"/>
              <w:right w:type="dxa" w:w="100"/>
            </w:tcMar>
            <w:vAlign w:val="center"/>
          </w:tcPr>
          <w:p>
            <w:r>
              <w:rPr>
                <w:b w:val="false"/>
                <w:bCs w:val="false"/>
                <w:color w:val="000000"/>
              </w:rPr>
              <w:t xml:space="preserve">Medium</w:t>
            </w:r>
          </w:p>
        </w:tc>
      </w:tr>
      <w:tr>
        <w:tc>
          <w:tcPr>
            <w:tcW w:type="dxa" w:w="1500"/>
            <w:tcMar>
              <w:top w:type="dxa" w:w="60"/>
              <w:left w:type="dxa" w:w="100"/>
              <w:bottom w:type="dxa" w:w="60"/>
              <w:right w:type="dxa" w:w="100"/>
            </w:tcMar>
            <w:vAlign w:val="center"/>
          </w:tcPr>
          <w:p>
            <w:r>
              <w:rPr>
                <w:b w:val="false"/>
                <w:bCs w:val="false"/>
                <w:color w:val="000000"/>
              </w:rPr>
              <w:t xml:space="preserve">Tracker Write-Back</w:t>
            </w:r>
          </w:p>
        </w:tc>
        <w:tc>
          <w:tcPr>
            <w:tcW w:type="dxa" w:w="1500"/>
            <w:tcMar>
              <w:top w:type="dxa" w:w="60"/>
              <w:left w:type="dxa" w:w="100"/>
              <w:bottom w:type="dxa" w:w="60"/>
              <w:right w:type="dxa" w:w="100"/>
            </w:tcMar>
            <w:vAlign w:val="center"/>
          </w:tcPr>
          <w:p>
            <w:r>
              <w:rPr>
                <w:b w:val="false"/>
                <w:bCs w:val="false"/>
                <w:color w:val="000000"/>
              </w:rPr>
              <w:t xml:space="preserve">Write final status (Pending/Completed/Mismatch) and, if applicable, mismatched fields to the Mismatch Column in both trackers.</w:t>
            </w:r>
          </w:p>
        </w:tc>
        <w:tc>
          <w:tcPr>
            <w:tcW w:type="dxa" w:w="1500"/>
            <w:tcMar>
              <w:top w:type="dxa" w:w="60"/>
              <w:left w:type="dxa" w:w="100"/>
              <w:bottom w:type="dxa" w:w="60"/>
              <w:right w:type="dxa" w:w="100"/>
            </w:tcMar>
            <w:vAlign w:val="center"/>
          </w:tcPr>
          <w:p>
            <w:r>
              <w:rPr>
                <w:b w:val="false"/>
                <w:bCs w:val="false"/>
                <w:color w:val="000000"/>
              </w:rPr>
              <w:t xml:space="preserve">Outcome status; mismatched field list; Req ID</w:t>
            </w:r>
          </w:p>
        </w:tc>
        <w:tc>
          <w:tcPr>
            <w:tcW w:type="dxa" w:w="1500"/>
            <w:tcMar>
              <w:top w:type="dxa" w:w="60"/>
              <w:left w:type="dxa" w:w="100"/>
              <w:bottom w:type="dxa" w:w="60"/>
              <w:right w:type="dxa" w:w="100"/>
            </w:tcMar>
            <w:vAlign w:val="center"/>
          </w:tcPr>
          <w:p>
            <w:r>
              <w:rPr>
                <w:b w:val="false"/>
                <w:bCs w:val="false"/>
                <w:color w:val="000000"/>
              </w:rPr>
              <w:t xml:space="preserve">Updated Productivity &amp; Master Tracker rows</w:t>
            </w:r>
          </w:p>
        </w:tc>
        <w:tc>
          <w:tcPr>
            <w:tcW w:type="dxa" w:w="1500"/>
            <w:tcMar>
              <w:top w:type="dxa" w:w="60"/>
              <w:left w:type="dxa" w:w="100"/>
              <w:bottom w:type="dxa" w:w="60"/>
              <w:right w:type="dxa" w:w="100"/>
            </w:tcMar>
            <w:vAlign w:val="center"/>
          </w:tcPr>
          <w:p>
            <w:r>
              <w:rPr>
                <w:b w:val="false"/>
                <w:bCs w:val="false"/>
                <w:color w:val="000000"/>
              </w:rPr>
              <w:t xml:space="preserve">Tracker Lookup &amp; Sync; Field Comparison &amp; Status Engine</w:t>
            </w:r>
          </w:p>
        </w:tc>
        <w:tc>
          <w:tcPr>
            <w:tcW w:type="dxa" w:w="1500"/>
            <w:tcMar>
              <w:top w:type="dxa" w:w="60"/>
              <w:left w:type="dxa" w:w="100"/>
              <w:bottom w:type="dxa" w:w="60"/>
              <w:right w:type="dxa" w:w="100"/>
            </w:tcMar>
            <w:vAlign w:val="center"/>
          </w:tcPr>
          <w:p>
            <w:r>
              <w:rPr>
                <w:b w:val="false"/>
                <w:bCs w:val="false"/>
                <w:color w:val="000000"/>
              </w:rPr>
              <w:t xml:space="preserve">Low</w:t>
            </w:r>
          </w:p>
        </w:tc>
      </w:tr>
      <w:tr>
        <w:tc>
          <w:tcPr>
            <w:tcW w:type="dxa" w:w="1500"/>
            <w:tcMar>
              <w:top w:type="dxa" w:w="60"/>
              <w:left w:type="dxa" w:w="100"/>
              <w:bottom w:type="dxa" w:w="60"/>
              <w:right w:type="dxa" w:w="100"/>
            </w:tcMar>
            <w:vAlign w:val="center"/>
          </w:tcPr>
          <w:p>
            <w:r>
              <w:rPr>
                <w:b w:val="false"/>
                <w:bCs w:val="false"/>
                <w:color w:val="000000"/>
              </w:rPr>
              <w:t xml:space="preserve">Exception Handling &amp; Logging</w:t>
            </w:r>
          </w:p>
        </w:tc>
        <w:tc>
          <w:tcPr>
            <w:tcW w:type="dxa" w:w="1500"/>
            <w:tcMar>
              <w:top w:type="dxa" w:w="60"/>
              <w:left w:type="dxa" w:w="100"/>
              <w:bottom w:type="dxa" w:w="60"/>
              <w:right w:type="dxa" w:w="100"/>
            </w:tcMar>
            <w:vAlign w:val="center"/>
          </w:tcPr>
          <w:p>
            <w:r>
              <w:rPr>
                <w:b w:val="false"/>
                <w:bCs w:val="false"/>
                <w:color w:val="000000"/>
              </w:rPr>
              <w:t xml:space="preserve">Capture technical failures across all modules (login failure, API timeout, tracker write failure); log centrally and trigger retry/alert.</w:t>
            </w:r>
          </w:p>
        </w:tc>
        <w:tc>
          <w:tcPr>
            <w:tcW w:type="dxa" w:w="1500"/>
            <w:tcMar>
              <w:top w:type="dxa" w:w="60"/>
              <w:left w:type="dxa" w:w="100"/>
              <w:bottom w:type="dxa" w:w="60"/>
              <w:right w:type="dxa" w:w="100"/>
            </w:tcMar>
            <w:vAlign w:val="center"/>
          </w:tcPr>
          <w:p>
            <w:r>
              <w:rPr>
                <w:b w:val="false"/>
                <w:bCs w:val="false"/>
                <w:color w:val="000000"/>
              </w:rPr>
              <w:t xml:space="preserve">Failure event from any module</w:t>
            </w:r>
          </w:p>
        </w:tc>
        <w:tc>
          <w:tcPr>
            <w:tcW w:type="dxa" w:w="1500"/>
            <w:tcMar>
              <w:top w:type="dxa" w:w="60"/>
              <w:left w:type="dxa" w:w="100"/>
              <w:bottom w:type="dxa" w:w="60"/>
              <w:right w:type="dxa" w:w="100"/>
            </w:tcMar>
            <w:vAlign w:val="center"/>
          </w:tcPr>
          <w:p>
            <w:r>
              <w:rPr>
                <w:b w:val="false"/>
                <w:bCs w:val="false"/>
                <w:color w:val="000000"/>
              </w:rPr>
              <w:t xml:space="preserve">Log entry; alert; retry trigger</w:t>
            </w:r>
          </w:p>
        </w:tc>
        <w:tc>
          <w:tcPr>
            <w:tcW w:type="dxa" w:w="1500"/>
            <w:tcMar>
              <w:top w:type="dxa" w:w="60"/>
              <w:left w:type="dxa" w:w="100"/>
              <w:bottom w:type="dxa" w:w="60"/>
              <w:right w:type="dxa" w:w="100"/>
            </w:tcMar>
            <w:vAlign w:val="center"/>
          </w:tcPr>
          <w:p>
            <w:r>
              <w:rPr>
                <w:b w:val="false"/>
                <w:bCs w:val="false"/>
                <w:color w:val="000000"/>
              </w:rPr>
              <w:t xml:space="preserve">Cross-cutting — depends on all modules</w:t>
            </w:r>
          </w:p>
        </w:tc>
        <w:tc>
          <w:tcPr>
            <w:tcW w:type="dxa" w:w="1500"/>
            <w:tcMar>
              <w:top w:type="dxa" w:w="60"/>
              <w:left w:type="dxa" w:w="100"/>
              <w:bottom w:type="dxa" w:w="60"/>
              <w:right w:type="dxa" w:w="100"/>
            </w:tcMar>
            <w:vAlign w:val="center"/>
          </w:tcPr>
          <w:p>
            <w:r>
              <w:rPr>
                <w:b w:val="false"/>
                <w:bCs w:val="false"/>
                <w:color w:val="000000"/>
              </w:rPr>
              <w:t xml:space="preserve">Medium</w:t>
            </w:r>
          </w:p>
        </w:tc>
      </w:tr>
    </w:tbl>
    <w:p>
      <w:pPr>
        <w:pStyle w:val="Heading1"/>
        <w:spacing w:after="150" w:before="300"/>
      </w:pPr>
      <w:r>
        <w:t xml:space="preserve">7. Summary</w:t>
      </w:r>
    </w:p>
    <w:p>
      <w:pPr>
        <w:spacing w:after="120"/>
      </w:pPr>
      <w:r>
        <w:rPr>
          <w:b w:val="false"/>
          <w:bCs w:val="false"/>
          <w:i w:val="false"/>
          <w:iCs w:val="false"/>
        </w:rPr>
        <w:t xml:space="preserve">This process is a Pure RPA solution — every step is structured and rules-based, with no need for AI. The key limitation to carry into build planning is that mismatch resolution stays manual; the automation's job ends at detecting and logging discrepancies. The module breakdown above is ready to hand to a development team, with the Exception Handling &amp; Logging module cutting across the others and worth assigning early.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2026-09-17T07:35:53.364Z</dcterms:created>
  <dcterms:modified xsi:type="dcterms:W3CDTF">2026-09-17T07:35:53.364Z</dcterms:modified>
</cp:coreProperties>
</file>

<file path=docProps/custom.xml><?xml version="1.0" encoding="utf-8"?>
<Properties xmlns="http://schemas.openxmlformats.org/officeDocument/2006/custom-properties" xmlns:vt="http://schemas.openxmlformats.org/officeDocument/2006/docPropsVTypes"/>
</file>