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0C34" w14:textId="72A94275" w:rsidR="00164F34" w:rsidRDefault="00DA5584" w:rsidP="000A0BF9">
      <w:pPr>
        <w:pStyle w:val="Heading1"/>
        <w:spacing w:line="240" w:lineRule="auto"/>
      </w:pPr>
      <w:r>
        <w:t>E-Commerce Churn EDA Executive Summary</w:t>
      </w:r>
    </w:p>
    <w:p w14:paraId="3498D356" w14:textId="413188E0" w:rsidR="00DA5584" w:rsidRDefault="00DA5584" w:rsidP="000A0BF9">
      <w:pPr>
        <w:pStyle w:val="Heading2"/>
        <w:spacing w:line="240" w:lineRule="auto"/>
      </w:pPr>
      <w:r>
        <w:t>Introduction</w:t>
      </w:r>
    </w:p>
    <w:p w14:paraId="18A110D6" w14:textId="54770E91" w:rsidR="00DA5584" w:rsidRDefault="00DA5584" w:rsidP="000A0BF9">
      <w:pPr>
        <w:spacing w:line="240" w:lineRule="auto"/>
      </w:pPr>
      <w:r>
        <w:t>This project explores the customer behavior and value of an online e-commerce company using behavioral, transactional, and engagement data. The main variable targeted within this exploratory data analysis was customer churn. Many different metrics within this dataset were analyzed with the goal of finding the true drivers of customer churn allowing the company to then make data-driven decisions to improve customer retention and in turn revenue and value as well.</w:t>
      </w:r>
      <w:r w:rsidR="00B5340C">
        <w:t xml:space="preserve"> The data cleaning and exploratory data analysis processes have been conducted using SQL for cleaning and augmenting, Excel for initial exploration, and Tableau for final dashboard visualizations. Key metrics and grouped data utilized include age groups, membership length, activity levels, social media and mobile app engagement levels, discount usage, and customer lifetime value</w:t>
      </w:r>
      <w:r w:rsidR="00CA2890">
        <w:t xml:space="preserve">. Analysis will be used to find out whether these demographic and engagement metrics provide clear insight </w:t>
      </w:r>
      <w:r w:rsidR="00A519C9">
        <w:t>into predicting</w:t>
      </w:r>
      <w:r w:rsidR="00CA2890">
        <w:t xml:space="preserve"> customer churn allowing the company to make targeted efforts to prevent it as well as show where the true value lies in the customer base.</w:t>
      </w:r>
      <w:r w:rsidR="000B7F65">
        <w:t xml:space="preserve"> Findings will be displayed </w:t>
      </w:r>
      <w:r w:rsidR="00A519C9">
        <w:t>clearly through comments and a dashboard for easy visualization. Based on analysis final recommendations will be made on how to move forward considering these data insights.</w:t>
      </w:r>
    </w:p>
    <w:p w14:paraId="44555AA6" w14:textId="65454040" w:rsidR="00A519C9" w:rsidRDefault="00A519C9" w:rsidP="000A0BF9">
      <w:pPr>
        <w:pStyle w:val="Heading2"/>
        <w:spacing w:line="240" w:lineRule="auto"/>
      </w:pPr>
      <w:r>
        <w:t>Analysis</w:t>
      </w:r>
    </w:p>
    <w:p w14:paraId="43C75BC4" w14:textId="77777777" w:rsidR="00140B56" w:rsidRDefault="00683110" w:rsidP="000A0BF9">
      <w:pPr>
        <w:spacing w:line="240" w:lineRule="auto"/>
      </w:pPr>
      <w:r>
        <w:t xml:space="preserve">The e-commerce dataset used in this analysis includes many metrics that display specific customer behaviors such as logins, app and email engagement, discount usage etc. </w:t>
      </w:r>
      <w:r w:rsidR="00CD0417">
        <w:t>and these metrics provide extremely valuable business implications.</w:t>
      </w:r>
      <w:r w:rsidR="00DC0EA7">
        <w:t xml:space="preserve"> </w:t>
      </w:r>
      <w:r w:rsidR="00166D1D">
        <w:t xml:space="preserve">The overall dataset was found to be </w:t>
      </w:r>
      <w:r w:rsidR="00140B56">
        <w:t>29</w:t>
      </w:r>
      <w:r w:rsidR="00166D1D">
        <w:t>% of customers and total lifetime value being churned out</w:t>
      </w:r>
      <w:r w:rsidR="00140B56">
        <w:t xml:space="preserve"> representing 14,450 of 50,000 customers, highlighting churn as a real revenue risk as opposed to simply a marginal issue</w:t>
      </w:r>
      <w:r w:rsidR="00166D1D">
        <w:t xml:space="preserve">. </w:t>
      </w:r>
    </w:p>
    <w:p w14:paraId="2E5CA5D5" w14:textId="266675F1" w:rsidR="00A519C9" w:rsidRDefault="00140B56" w:rsidP="000A0BF9">
      <w:pPr>
        <w:spacing w:line="240" w:lineRule="auto"/>
        <w:ind w:firstLine="720"/>
      </w:pPr>
      <w:r>
        <w:t xml:space="preserve">Customer engagement has shown to be the strongest predictor of retention. Churn rates of minimally engaged users exceed 40%, while customers with strong or top-tier engagement consistently churn at rates below 20%. Email and mobile app engagement exhibit the steepest inverse relationships with churn rates, with sharp reductions as customers move from minimal to moderate engagement. Login activity also shows a clear but expected inverse relationship, reinforcing that engagement quality trumps frequency. </w:t>
      </w:r>
    </w:p>
    <w:p w14:paraId="0ADDE529" w14:textId="05AFD49B" w:rsidR="00140B56" w:rsidRDefault="00140B56" w:rsidP="000A0BF9">
      <w:pPr>
        <w:spacing w:line="240" w:lineRule="auto"/>
        <w:ind w:firstLine="720"/>
      </w:pPr>
      <w:r>
        <w:t>Customers in the age groups of 25-54 generate the majority of lifetime value across the dataset. Higher engagement clearly correlates with higher lifetime value, with top engagement users averaging lifetime values over 2,000 compared to under 1,100 form lower engagement users. Core and top value customers churn</w:t>
      </w:r>
      <w:r w:rsidR="0070284D">
        <w:t xml:space="preserve"> at the lowest rates overall, though high-value young adults (18-24) show elevated churn when engagement levels decline, indicating vulnerability within otherwise valuable segments.</w:t>
      </w:r>
    </w:p>
    <w:p w14:paraId="3FB25549" w14:textId="08BBE942" w:rsidR="0070284D" w:rsidRDefault="0070284D" w:rsidP="000A0BF9">
      <w:pPr>
        <w:spacing w:line="240" w:lineRule="auto"/>
        <w:ind w:firstLine="720"/>
      </w:pPr>
      <w:r>
        <w:t xml:space="preserve">Total revenue lost due to churn is not evenly distributed. Moderately engaged customers account for nearly half of churn-related lifetime value loss, making them by far </w:t>
      </w:r>
      <w:r>
        <w:lastRenderedPageBreak/>
        <w:t xml:space="preserve">the most impactful group to target. Middle aged customers (35-44) represent the largest concentration of revenue at risk, combining both high customer volume and high average lifetime value. Importantly, most revenue losses do not originate from the least active customers, but from customers who remain partially engaged before disengaging and eventually churning out overtime. </w:t>
      </w:r>
    </w:p>
    <w:p w14:paraId="590872F5" w14:textId="7C6E91F5" w:rsidR="0070284D" w:rsidRDefault="0070284D" w:rsidP="000A0BF9">
      <w:pPr>
        <w:spacing w:line="240" w:lineRule="auto"/>
        <w:ind w:firstLine="720"/>
      </w:pPr>
      <w:r>
        <w:t xml:space="preserve">Discounts usage does have a relationship with churn although should be treated more as a secondary driver compared to engagement. Higher discount usage is associated with lower churn rates, declining from over 35% among low-discount users to approximately 24% for deal-dependent customers. Discount usage is evenly distributed across </w:t>
      </w:r>
      <w:r w:rsidR="00497C69">
        <w:t xml:space="preserve">lifetime value tiers, indicating discount users are not just low value therefore discounts do not hurt revenue more than helping retention. Discounts alone do not ensure retention </w:t>
      </w:r>
      <w:r w:rsidR="006A5C0A">
        <w:t>though</w:t>
      </w:r>
      <w:r w:rsidR="00497C69">
        <w:t xml:space="preserve"> as churn declines most significantly when discounts are paired with high engagement, particularly mobile app usage. </w:t>
      </w:r>
    </w:p>
    <w:p w14:paraId="5A466531" w14:textId="0986FC2E" w:rsidR="00140B56" w:rsidRDefault="006A5C0A" w:rsidP="000A0BF9">
      <w:pPr>
        <w:pStyle w:val="Heading2"/>
        <w:spacing w:line="240" w:lineRule="auto"/>
      </w:pPr>
      <w:r>
        <w:t>Recommendations</w:t>
      </w:r>
    </w:p>
    <w:p w14:paraId="7FA7C42B" w14:textId="63157056" w:rsidR="006A5C0A" w:rsidRDefault="006A5C0A" w:rsidP="000A0BF9">
      <w:pPr>
        <w:spacing w:line="240" w:lineRule="auto"/>
      </w:pPr>
      <w:r>
        <w:tab/>
        <w:t xml:space="preserve">The company should first prioritize engagement driven retention strategies. Further investment should focus on increasing email personalization, mobile marketing, and meaningful platform interaction, particularly for moderately engaged users who represent the largest opportunity to reduce churn and protect revenue. </w:t>
      </w:r>
    </w:p>
    <w:p w14:paraId="797A5C91" w14:textId="641B1E36" w:rsidR="006A5C0A" w:rsidRDefault="006A5C0A" w:rsidP="000A0BF9">
      <w:pPr>
        <w:spacing w:line="240" w:lineRule="auto"/>
      </w:pPr>
      <w:r>
        <w:tab/>
        <w:t>Next, focus should be placed on protecting high-value customers through sustained engagement. Retention strategies should emphasize maintaining engagement among core and high-value customers, especially younger high-value segments that show increased churn sensitivity when engagement declines.</w:t>
      </w:r>
    </w:p>
    <w:p w14:paraId="5FB92B65" w14:textId="506EE2B7" w:rsidR="000A0BF9" w:rsidRDefault="000A0BF9" w:rsidP="000A0BF9">
      <w:pPr>
        <w:spacing w:line="240" w:lineRule="auto"/>
      </w:pPr>
      <w:r>
        <w:tab/>
        <w:t xml:space="preserve">Revenue at risk should also be a target along with inactivity. Retention efforts should shift focus from solely on low-activity users and instead prioritize customers who remain active but are showing signs of disengagement such as longer than 30 days since last purchase as seen on the dashboard to be a sign of churn. </w:t>
      </w:r>
    </w:p>
    <w:p w14:paraId="183296FE" w14:textId="652A1810" w:rsidR="000A0BF9" w:rsidRPr="006A5C0A" w:rsidRDefault="000A0BF9" w:rsidP="000A0BF9">
      <w:pPr>
        <w:spacing w:line="240" w:lineRule="auto"/>
      </w:pPr>
      <w:r>
        <w:tab/>
        <w:t>Finally utilize discounts as a support rather than a primary strategy. Discounts can be used to reinforce engagement initiatives rather than replace them. Targeted discounts combined with strong engagement produce the lowest churn rates and highest long-term value.</w:t>
      </w:r>
    </w:p>
    <w:sectPr w:rsidR="000A0BF9" w:rsidRPr="006A5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DB"/>
    <w:rsid w:val="000A0BF9"/>
    <w:rsid w:val="000B7F65"/>
    <w:rsid w:val="00140B56"/>
    <w:rsid w:val="00164F34"/>
    <w:rsid w:val="00166D1D"/>
    <w:rsid w:val="001A10EB"/>
    <w:rsid w:val="002568DB"/>
    <w:rsid w:val="003D0D2E"/>
    <w:rsid w:val="00497C69"/>
    <w:rsid w:val="00683110"/>
    <w:rsid w:val="006A5C0A"/>
    <w:rsid w:val="0070284D"/>
    <w:rsid w:val="00A519C9"/>
    <w:rsid w:val="00B5340C"/>
    <w:rsid w:val="00B92FFE"/>
    <w:rsid w:val="00C87DF1"/>
    <w:rsid w:val="00CA2890"/>
    <w:rsid w:val="00CD0417"/>
    <w:rsid w:val="00DA5584"/>
    <w:rsid w:val="00DC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0E35C"/>
  <w15:chartTrackingRefBased/>
  <w15:docId w15:val="{3A40CB18-C4BC-4AC7-B27C-0A931A56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8DB"/>
    <w:rPr>
      <w:rFonts w:eastAsiaTheme="majorEastAsia" w:cstheme="majorBidi"/>
      <w:color w:val="272727" w:themeColor="text1" w:themeTint="D8"/>
    </w:rPr>
  </w:style>
  <w:style w:type="paragraph" w:styleId="Title">
    <w:name w:val="Title"/>
    <w:basedOn w:val="Normal"/>
    <w:next w:val="Normal"/>
    <w:link w:val="TitleChar"/>
    <w:uiPriority w:val="10"/>
    <w:qFormat/>
    <w:rsid w:val="00256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8DB"/>
    <w:pPr>
      <w:spacing w:before="160"/>
      <w:jc w:val="center"/>
    </w:pPr>
    <w:rPr>
      <w:i/>
      <w:iCs/>
      <w:color w:val="404040" w:themeColor="text1" w:themeTint="BF"/>
    </w:rPr>
  </w:style>
  <w:style w:type="character" w:customStyle="1" w:styleId="QuoteChar">
    <w:name w:val="Quote Char"/>
    <w:basedOn w:val="DefaultParagraphFont"/>
    <w:link w:val="Quote"/>
    <w:uiPriority w:val="29"/>
    <w:rsid w:val="002568DB"/>
    <w:rPr>
      <w:i/>
      <w:iCs/>
      <w:color w:val="404040" w:themeColor="text1" w:themeTint="BF"/>
    </w:rPr>
  </w:style>
  <w:style w:type="paragraph" w:styleId="ListParagraph">
    <w:name w:val="List Paragraph"/>
    <w:basedOn w:val="Normal"/>
    <w:uiPriority w:val="34"/>
    <w:qFormat/>
    <w:rsid w:val="002568DB"/>
    <w:pPr>
      <w:ind w:left="720"/>
      <w:contextualSpacing/>
    </w:pPr>
  </w:style>
  <w:style w:type="character" w:styleId="IntenseEmphasis">
    <w:name w:val="Intense Emphasis"/>
    <w:basedOn w:val="DefaultParagraphFont"/>
    <w:uiPriority w:val="21"/>
    <w:qFormat/>
    <w:rsid w:val="002568DB"/>
    <w:rPr>
      <w:i/>
      <w:iCs/>
      <w:color w:val="0F4761" w:themeColor="accent1" w:themeShade="BF"/>
    </w:rPr>
  </w:style>
  <w:style w:type="paragraph" w:styleId="IntenseQuote">
    <w:name w:val="Intense Quote"/>
    <w:basedOn w:val="Normal"/>
    <w:next w:val="Normal"/>
    <w:link w:val="IntenseQuoteChar"/>
    <w:uiPriority w:val="30"/>
    <w:qFormat/>
    <w:rsid w:val="00256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8DB"/>
    <w:rPr>
      <w:i/>
      <w:iCs/>
      <w:color w:val="0F4761" w:themeColor="accent1" w:themeShade="BF"/>
    </w:rPr>
  </w:style>
  <w:style w:type="character" w:styleId="IntenseReference">
    <w:name w:val="Intense Reference"/>
    <w:basedOn w:val="DefaultParagraphFont"/>
    <w:uiPriority w:val="32"/>
    <w:qFormat/>
    <w:rsid w:val="00256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Sanacore</dc:creator>
  <cp:keywords/>
  <dc:description/>
  <cp:lastModifiedBy>MJ Sanacore</cp:lastModifiedBy>
  <cp:revision>6</cp:revision>
  <dcterms:created xsi:type="dcterms:W3CDTF">2026-01-28T15:52:00Z</dcterms:created>
  <dcterms:modified xsi:type="dcterms:W3CDTF">2026-01-29T01:52:00Z</dcterms:modified>
</cp:coreProperties>
</file>