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Database Document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The process of designing database includes these steps: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UML Diagram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First, we need to define what class we want to include in our database, which attributes of each class should have, which attributes are primary key [1] and the relationship between them.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[1] A primary key is a key that uniquely identifies each instance in a class. It serves as a means to differentiate one instance from another. The primary key can consist of a single attribute or a combination of multiple attributes. 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</w:rPr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Image 1. UML diagram of database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Functional Dependencies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Products(</w:t>
      </w: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,name,brand,catID,EAN)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Supermarkets(</w:t>
      </w: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supID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,name)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Variants(</w:t>
      </w: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varID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,proID,price,supID)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Categories(</w:t>
      </w:r>
      <w:r w:rsidDel="00000000" w:rsidR="00000000" w:rsidRPr="00000000">
        <w:rPr>
          <w:rFonts w:ascii="Arial" w:cs="Arial" w:eastAsia="Arial" w:hAnsi="Arial"/>
          <w:sz w:val="32"/>
          <w:szCs w:val="32"/>
          <w:u w:val="single"/>
          <w:rtl w:val="0"/>
        </w:rPr>
        <w:t xml:space="preserve">catID,name)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Arial" w:cs="Arial" w:eastAsia="Arial" w:hAnsi="Arial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The Products table stores information about the products owned by the supermarkets, including the ID(identifier), name, brand, category ID, and EAN (European Article Number).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The Supermarkets table contains information about different supermarkets, including the supermarket ID and its name.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The Variants table stores details about different variants or versions of products available across supermarkets, including variant ID, product ID, its price and supermarket ID.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The Categories table allows for the organization and classification of products into different categories, including category ID and its name.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60"/>
      </w:tabs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