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rPr>
          <w:b w:val="1"/>
          <w:color w:val="1f1f1f"/>
          <w:sz w:val="34"/>
          <w:szCs w:val="34"/>
        </w:rPr>
      </w:pPr>
      <w:bookmarkStart w:colFirst="0" w:colLast="0" w:name="_gmnlruze5erq" w:id="0"/>
      <w:bookmarkEnd w:id="0"/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Transformer Architecture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Attention is All You Need</w:t>
        </w:r>
      </w:hyperlink>
      <w:r w:rsidDel="00000000" w:rsidR="00000000" w:rsidRPr="00000000">
        <w:rPr>
          <w:color w:val="1f1f1f"/>
          <w:rtl w:val="0"/>
        </w:rPr>
        <w:t xml:space="preserve"> - This paper introduced the Transformer architecture, with the core “self-attention” mechanism. This article was the foundation for LLMs.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BLOOM: BigScience 176B Model</w:t>
        </w:r>
      </w:hyperlink>
      <w:r w:rsidDel="00000000" w:rsidR="00000000" w:rsidRPr="00000000">
        <w:rPr>
          <w:b w:val="1"/>
          <w:color w:val="1155cc"/>
          <w:u w:val="single"/>
          <w:rtl w:val="0"/>
        </w:rPr>
        <w:t xml:space="preserve"> </w:t>
      </w:r>
      <w:r w:rsidDel="00000000" w:rsidR="00000000" w:rsidRPr="00000000">
        <w:rPr>
          <w:color w:val="1f1f1f"/>
          <w:rtl w:val="0"/>
        </w:rPr>
        <w:t xml:space="preserve">- BLOOM is a open-source LLM with 176B parameters (similar to GPT-4) trained in an open and transparent way. In this paper, the authors present a detailed discussion of the dataset and process used to train the model. You can also see a high-level overview of the model</w:t>
      </w:r>
      <w:hyperlink r:id="rId8">
        <w:r w:rsidDel="00000000" w:rsidR="00000000" w:rsidRPr="00000000">
          <w:rPr>
            <w:color w:val="1f1f1f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1f1f1f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160" w:lineRule="auto"/>
        <w:ind w:left="720" w:hanging="360"/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Vector Space Models</w:t>
        </w:r>
      </w:hyperlink>
      <w:r w:rsidDel="00000000" w:rsidR="00000000" w:rsidRPr="00000000">
        <w:rPr>
          <w:color w:val="1f1f1f"/>
          <w:rtl w:val="0"/>
        </w:rPr>
        <w:t xml:space="preserve"> - Series of lessons from DeepLearning.AI's Natural Language Processing specialization discussing the basics of vector space models and their use in language modeling.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4"/>
          <w:szCs w:val="34"/>
        </w:rPr>
      </w:pPr>
      <w:bookmarkStart w:colFirst="0" w:colLast="0" w:name="_dxdvj9w9k70q" w:id="1"/>
      <w:bookmarkEnd w:id="1"/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Pre-training and scaling laws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Scaling Laws for Neural Language Models</w:t>
        </w:r>
      </w:hyperlink>
      <w:r w:rsidDel="00000000" w:rsidR="00000000" w:rsidRPr="00000000">
        <w:rPr>
          <w:b w:val="1"/>
          <w:color w:val="1f1f1f"/>
          <w:rtl w:val="0"/>
        </w:rPr>
        <w:t xml:space="preserve"> </w:t>
      </w:r>
      <w:r w:rsidDel="00000000" w:rsidR="00000000" w:rsidRPr="00000000">
        <w:rPr>
          <w:color w:val="1f1f1f"/>
          <w:rtl w:val="0"/>
        </w:rPr>
        <w:t xml:space="preserve">- empirical study by researchers at OpenAI exploring the scaling laws for large language models.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4"/>
          <w:szCs w:val="34"/>
        </w:rPr>
      </w:pPr>
      <w:bookmarkStart w:colFirst="0" w:colLast="0" w:name="_lkr6zqp3by9j" w:id="2"/>
      <w:bookmarkEnd w:id="2"/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Model architectures and pre-training objectives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What Language Model Architecture and Pretraining Objective Work Best for Zero-Shot Generalization?</w:t>
        </w:r>
      </w:hyperlink>
      <w:r w:rsidDel="00000000" w:rsidR="00000000" w:rsidRPr="00000000">
        <w:rPr>
          <w:color w:val="1f1f1f"/>
          <w:rtl w:val="0"/>
        </w:rPr>
        <w:t xml:space="preserve"> - The paper examines modeling choices in large pre-trained language models and identifies the optimal approach for zero-shot generalization.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HuggingFace Tasks</w:t>
        </w:r>
      </w:hyperlink>
      <w:r w:rsidDel="00000000" w:rsidR="00000000" w:rsidRPr="00000000">
        <w:rPr>
          <w:b w:val="1"/>
          <w:color w:val="1f1f1f"/>
          <w:rtl w:val="0"/>
        </w:rPr>
        <w:t xml:space="preserve"> and</w:t>
      </w:r>
      <w:hyperlink r:id="rId14">
        <w:r w:rsidDel="00000000" w:rsidR="00000000" w:rsidRPr="00000000">
          <w:rPr>
            <w:b w:val="1"/>
            <w:color w:val="1f1f1f"/>
            <w:rtl w:val="0"/>
          </w:rPr>
          <w:t xml:space="preserve"> </w:t>
        </w:r>
      </w:hyperlink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Model Hub</w:t>
        </w:r>
      </w:hyperlink>
      <w:r w:rsidDel="00000000" w:rsidR="00000000" w:rsidRPr="00000000">
        <w:rPr>
          <w:color w:val="1f1f1f"/>
          <w:rtl w:val="0"/>
        </w:rPr>
        <w:t xml:space="preserve"> - Collection of resources to tackle varying machine learning tasks using the HuggingFace library.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160" w:lineRule="auto"/>
        <w:ind w:left="720" w:hanging="360"/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LLaMA: Open and Efficient Foundation Language Models</w:t>
        </w:r>
      </w:hyperlink>
      <w:r w:rsidDel="00000000" w:rsidR="00000000" w:rsidRPr="00000000">
        <w:rPr>
          <w:color w:val="1f1f1f"/>
          <w:rtl w:val="0"/>
        </w:rPr>
        <w:t xml:space="preserve"> - Article from Meta AI proposing Efficient LLMs (their model with 13B parameters outperform GPT3 with 175B parameters on most benchmarks)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1f1f1f"/>
          <w:sz w:val="34"/>
          <w:szCs w:val="34"/>
        </w:rPr>
      </w:pPr>
      <w:bookmarkStart w:colFirst="0" w:colLast="0" w:name="_nm7joi32g92s" w:id="3"/>
      <w:bookmarkEnd w:id="3"/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Scaling laws and compute-optimal models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Language Models are Few-Shot Learners</w:t>
        </w:r>
      </w:hyperlink>
      <w:r w:rsidDel="00000000" w:rsidR="00000000" w:rsidRPr="00000000">
        <w:rPr>
          <w:b w:val="1"/>
          <w:color w:val="1f1f1f"/>
          <w:rtl w:val="0"/>
        </w:rPr>
        <w:t xml:space="preserve"> </w:t>
      </w:r>
      <w:r w:rsidDel="00000000" w:rsidR="00000000" w:rsidRPr="00000000">
        <w:rPr>
          <w:color w:val="1f1f1f"/>
          <w:rtl w:val="0"/>
        </w:rPr>
        <w:t xml:space="preserve">-</w:t>
      </w:r>
      <w:r w:rsidDel="00000000" w:rsidR="00000000" w:rsidRPr="00000000">
        <w:rPr>
          <w:b w:val="1"/>
          <w:color w:val="1f1f1f"/>
          <w:rtl w:val="0"/>
        </w:rPr>
        <w:t xml:space="preserve"> </w:t>
      </w:r>
      <w:r w:rsidDel="00000000" w:rsidR="00000000" w:rsidRPr="00000000">
        <w:rPr>
          <w:color w:val="1f1f1f"/>
          <w:rtl w:val="0"/>
        </w:rPr>
        <w:t xml:space="preserve">This paper investigates the potential of few-shot learning in Large Language Models.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Training Compute-Optimal Large Language Models</w:t>
        </w:r>
      </w:hyperlink>
      <w:r w:rsidDel="00000000" w:rsidR="00000000" w:rsidRPr="00000000">
        <w:rPr>
          <w:b w:val="1"/>
          <w:color w:val="1f1f1f"/>
          <w:rtl w:val="0"/>
        </w:rPr>
        <w:t xml:space="preserve"> </w:t>
      </w:r>
      <w:r w:rsidDel="00000000" w:rsidR="00000000" w:rsidRPr="00000000">
        <w:rPr>
          <w:color w:val="1f1f1f"/>
          <w:rtl w:val="0"/>
        </w:rPr>
        <w:t xml:space="preserve">- Study from DeepMind to evaluate the optimal model size and number of tokens for training LLMs. Also known as “Chinchilla Paper”.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160" w:lineRule="auto"/>
        <w:ind w:left="720" w:hanging="360"/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BloombergGPT: A Large Language Model for Finance</w:t>
        </w:r>
      </w:hyperlink>
      <w:r w:rsidDel="00000000" w:rsidR="00000000" w:rsidRPr="00000000">
        <w:rPr>
          <w:color w:val="1f1f1f"/>
          <w:rtl w:val="0"/>
        </w:rPr>
        <w:t xml:space="preserve"> - LLM trained specifically for the finance domain, a good example that tried to follow chinchilla laws.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abs/2001.08361" TargetMode="External"/><Relationship Id="rId10" Type="http://schemas.openxmlformats.org/officeDocument/2006/relationships/hyperlink" Target="https://www.coursera.org/learn/classification-vector-spaces-in-nlp/home/week/3" TargetMode="External"/><Relationship Id="rId13" Type="http://schemas.openxmlformats.org/officeDocument/2006/relationships/hyperlink" Target="https://huggingface.co/tasks" TargetMode="External"/><Relationship Id="rId12" Type="http://schemas.openxmlformats.org/officeDocument/2006/relationships/hyperlink" Target="https://arxiv.org/pdf/2204.05832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gscience.notion.site/BLOOM-BigScience-176B-Model-ad073ca07cdf479398d5f95d88e218c4" TargetMode="External"/><Relationship Id="rId15" Type="http://schemas.openxmlformats.org/officeDocument/2006/relationships/hyperlink" Target="https://huggingface.co/models" TargetMode="External"/><Relationship Id="rId14" Type="http://schemas.openxmlformats.org/officeDocument/2006/relationships/hyperlink" Target="https://huggingface.co/models" TargetMode="External"/><Relationship Id="rId17" Type="http://schemas.openxmlformats.org/officeDocument/2006/relationships/hyperlink" Target="https://arxiv.org/pdf/2005.14165.pdf" TargetMode="External"/><Relationship Id="rId16" Type="http://schemas.openxmlformats.org/officeDocument/2006/relationships/hyperlink" Target="https://arxiv.org/pdf/2302.13971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arxiv.org/pdf/2303.17564.pdf" TargetMode="External"/><Relationship Id="rId6" Type="http://schemas.openxmlformats.org/officeDocument/2006/relationships/hyperlink" Target="https://arxiv.org/pdf/1706.03762" TargetMode="External"/><Relationship Id="rId18" Type="http://schemas.openxmlformats.org/officeDocument/2006/relationships/hyperlink" Target="https://arxiv.org/pdf/2203.15556.pdf" TargetMode="External"/><Relationship Id="rId7" Type="http://schemas.openxmlformats.org/officeDocument/2006/relationships/hyperlink" Target="https://arxiv.org/abs/2211.05100" TargetMode="External"/><Relationship Id="rId8" Type="http://schemas.openxmlformats.org/officeDocument/2006/relationships/hyperlink" Target="https://bigscience.notion.site/BLOOM-BigScience-176B-Model-ad073ca07cdf479398d5f95d88e218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